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5F83F" w14:textId="0148FBC7" w:rsidR="0017293C" w:rsidRPr="007969E9" w:rsidRDefault="00AC582C" w:rsidP="00531CC4">
      <w:pPr>
        <w:rPr>
          <w:rFonts w:ascii="Arial" w:hAnsi="Arial" w:cs="Arial"/>
        </w:rPr>
      </w:pPr>
      <w:r w:rsidRPr="007969E9">
        <w:rPr>
          <w:rFonts w:ascii="Arial" w:hAnsi="Arial" w:cs="Arial"/>
          <w:noProof/>
        </w:rPr>
        <mc:AlternateContent>
          <mc:Choice Requires="wps">
            <w:drawing>
              <wp:anchor distT="0" distB="0" distL="114300" distR="114300" simplePos="0" relativeHeight="251655680" behindDoc="0" locked="0" layoutInCell="1" allowOverlap="1" wp14:anchorId="40BEAF62" wp14:editId="7E51B4B5">
                <wp:simplePos x="0" y="0"/>
                <wp:positionH relativeFrom="page">
                  <wp:align>left</wp:align>
                </wp:positionH>
                <wp:positionV relativeFrom="paragraph">
                  <wp:posOffset>-427037</wp:posOffset>
                </wp:positionV>
                <wp:extent cx="6895783" cy="1033780"/>
                <wp:effectExtent l="0" t="0" r="0" b="63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5783" cy="1033780"/>
                        </a:xfrm>
                        <a:prstGeom prst="rect">
                          <a:avLst/>
                        </a:prstGeom>
                        <a:noFill/>
                        <a:ln w="9525">
                          <a:noFill/>
                          <a:miter lim="800000"/>
                          <a:headEnd/>
                          <a:tailEnd/>
                        </a:ln>
                      </wps:spPr>
                      <wps:txbx>
                        <w:txbxContent>
                          <w:p w14:paraId="01594F49" w14:textId="655CEBC1" w:rsidR="00922A64" w:rsidRPr="00AC582C" w:rsidRDefault="006B5D8D" w:rsidP="005105F7">
                            <w:pPr>
                              <w:spacing w:after="0" w:line="240" w:lineRule="auto"/>
                              <w:jc w:val="right"/>
                              <w:rPr>
                                <w:rFonts w:ascii="Arial" w:hAnsi="Arial" w:cs="Arial"/>
                                <w:b/>
                                <w:bCs/>
                                <w:color w:val="193E75"/>
                                <w:sz w:val="80"/>
                                <w:szCs w:val="80"/>
                              </w:rPr>
                            </w:pPr>
                            <w:r>
                              <w:rPr>
                                <w:rFonts w:ascii="Arial" w:hAnsi="Arial" w:cs="Arial"/>
                                <w:b/>
                                <w:bCs/>
                                <w:color w:val="193E75"/>
                                <w:sz w:val="80"/>
                                <w:szCs w:val="80"/>
                              </w:rPr>
                              <w:t>Country Results</w:t>
                            </w:r>
                            <w:r w:rsidR="007D3ECF">
                              <w:rPr>
                                <w:rFonts w:ascii="Arial" w:hAnsi="Arial" w:cs="Arial"/>
                                <w:b/>
                                <w:bCs/>
                                <w:color w:val="193E75"/>
                                <w:sz w:val="80"/>
                                <w:szCs w:val="80"/>
                              </w:rPr>
                              <w:t xml:space="preserve"> Report</w:t>
                            </w:r>
                          </w:p>
                          <w:p w14:paraId="684158BA" w14:textId="2B689F68" w:rsidR="005105F7" w:rsidRPr="000D1CE7" w:rsidRDefault="00775FE3" w:rsidP="005105F7">
                            <w:pPr>
                              <w:spacing w:after="0" w:line="240" w:lineRule="auto"/>
                              <w:jc w:val="right"/>
                              <w:rPr>
                                <w:rFonts w:ascii="Arial" w:hAnsi="Arial" w:cs="Arial"/>
                                <w:color w:val="193E75"/>
                                <w:sz w:val="24"/>
                                <w:szCs w:val="24"/>
                              </w:rPr>
                            </w:pPr>
                            <w:r w:rsidRPr="000D1CE7">
                              <w:rPr>
                                <w:rFonts w:ascii="Arial" w:hAnsi="Arial" w:cs="Arial"/>
                                <w:color w:val="193E75"/>
                                <w:sz w:val="24"/>
                                <w:szCs w:val="24"/>
                              </w:rPr>
                              <w:t>The Biodiversity Finance Initiative (</w:t>
                            </w:r>
                            <w:r w:rsidR="005105F7" w:rsidRPr="000D1CE7">
                              <w:rPr>
                                <w:rFonts w:ascii="Arial" w:hAnsi="Arial" w:cs="Arial"/>
                                <w:b/>
                                <w:bCs/>
                                <w:color w:val="193E75"/>
                                <w:sz w:val="24"/>
                                <w:szCs w:val="24"/>
                              </w:rPr>
                              <w:t>BIOFIN</w:t>
                            </w:r>
                            <w:r w:rsidRPr="000D1CE7">
                              <w:rPr>
                                <w:rFonts w:ascii="Arial" w:hAnsi="Arial" w:cs="Arial"/>
                                <w:color w:val="193E75"/>
                                <w:sz w:val="24"/>
                                <w:szCs w:val="24"/>
                              </w:rPr>
                              <w:t>)</w:t>
                            </w:r>
                            <w:r w:rsidR="005105F7" w:rsidRPr="000D1CE7">
                              <w:rPr>
                                <w:rFonts w:ascii="Arial" w:hAnsi="Arial" w:cs="Arial"/>
                                <w:color w:val="193E75"/>
                                <w:sz w:val="24"/>
                                <w:szCs w:val="24"/>
                              </w:rPr>
                              <w:t xml:space="preserve"> </w:t>
                            </w:r>
                            <w:r w:rsidR="000D1CE7" w:rsidRPr="000D1CE7">
                              <w:rPr>
                                <w:rFonts w:ascii="Arial" w:hAnsi="Arial" w:cs="Arial"/>
                                <w:color w:val="193E75"/>
                                <w:sz w:val="24"/>
                                <w:szCs w:val="24"/>
                              </w:rPr>
                              <w:t>pro</w:t>
                            </w:r>
                            <w:r w:rsidR="009612FF">
                              <w:rPr>
                                <w:rFonts w:ascii="Arial" w:hAnsi="Arial" w:cs="Arial"/>
                                <w:color w:val="193E75"/>
                                <w:sz w:val="24"/>
                                <w:szCs w:val="24"/>
                              </w:rPr>
                              <w:t>gramme</w:t>
                            </w:r>
                            <w:r w:rsidR="000D1CE7" w:rsidRPr="000D1CE7">
                              <w:rPr>
                                <w:rFonts w:ascii="Arial" w:hAnsi="Arial" w:cs="Arial"/>
                                <w:color w:val="193E75"/>
                                <w:sz w:val="24"/>
                                <w:szCs w:val="24"/>
                              </w:rPr>
                              <w:t xml:space="preserve"> in </w:t>
                            </w:r>
                            <w:r w:rsidR="00BF5333">
                              <w:rPr>
                                <w:rFonts w:ascii="Arial" w:hAnsi="Arial" w:cs="Arial"/>
                                <w:b/>
                                <w:bCs/>
                                <w:color w:val="193E75"/>
                                <w:sz w:val="24"/>
                                <w:szCs w:val="24"/>
                              </w:rPr>
                              <w:t>the Kyrgyz Republic</w:t>
                            </w:r>
                          </w:p>
                          <w:p w14:paraId="5A4365C1" w14:textId="297D7148" w:rsidR="00922A64" w:rsidRPr="00FD34A0" w:rsidRDefault="005105F7" w:rsidP="005105F7">
                            <w:pPr>
                              <w:spacing w:after="0" w:line="240" w:lineRule="auto"/>
                              <w:jc w:val="right"/>
                              <w:rPr>
                                <w:rFonts w:ascii="Arial" w:hAnsi="Arial" w:cs="Arial"/>
                                <w:color w:val="193E75"/>
                                <w:sz w:val="24"/>
                                <w:szCs w:val="24"/>
                              </w:rPr>
                            </w:pPr>
                            <w:r w:rsidRPr="00FD34A0">
                              <w:rPr>
                                <w:rFonts w:ascii="Arial" w:hAnsi="Arial" w:cs="Arial"/>
                                <w:b/>
                                <w:bCs/>
                                <w:color w:val="193E75"/>
                                <w:sz w:val="24"/>
                                <w:szCs w:val="24"/>
                              </w:rPr>
                              <w:t>REPORTING PERIOD</w:t>
                            </w:r>
                            <w:r w:rsidRPr="00FD34A0">
                              <w:rPr>
                                <w:rFonts w:ascii="Arial" w:hAnsi="Arial" w:cs="Arial"/>
                                <w:color w:val="193E75"/>
                                <w:sz w:val="24"/>
                                <w:szCs w:val="24"/>
                              </w:rPr>
                              <w:t>: January to</w:t>
                            </w:r>
                            <w:r w:rsidR="008F362C" w:rsidRPr="00FD34A0">
                              <w:rPr>
                                <w:rFonts w:ascii="Arial" w:hAnsi="Arial" w:cs="Arial"/>
                                <w:color w:val="193E75"/>
                                <w:sz w:val="24"/>
                                <w:szCs w:val="24"/>
                              </w:rPr>
                              <w:t xml:space="preserve"> </w:t>
                            </w:r>
                            <w:r w:rsidR="009722F0">
                              <w:rPr>
                                <w:rFonts w:ascii="Arial" w:hAnsi="Arial" w:cs="Arial"/>
                                <w:color w:val="193E75"/>
                                <w:sz w:val="24"/>
                                <w:szCs w:val="24"/>
                              </w:rPr>
                              <w:t>December</w:t>
                            </w:r>
                            <w:r w:rsidR="00323C2A">
                              <w:rPr>
                                <w:rFonts w:ascii="Arial" w:hAnsi="Arial" w:cs="Arial"/>
                                <w:color w:val="193E75"/>
                                <w:sz w:val="24"/>
                                <w:szCs w:val="24"/>
                              </w:rPr>
                              <w:t xml:space="preserve"> 2025</w:t>
                            </w:r>
                            <w:r w:rsidR="00B63B2D" w:rsidRPr="00FD34A0">
                              <w:rPr>
                                <w:rFonts w:ascii="Arial" w:hAnsi="Arial" w:cs="Arial"/>
                                <w:color w:val="193E75"/>
                                <w:sz w:val="24"/>
                                <w:szCs w:val="2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0BEAF62" id="_x0000_t202" coordsize="21600,21600" o:spt="202" path="m,l,21600r21600,l21600,xe">
                <v:stroke joinstyle="miter"/>
                <v:path gradientshapeok="t" o:connecttype="rect"/>
              </v:shapetype>
              <v:shape id="Text Box 2" o:spid="_x0000_s1026" type="#_x0000_t202" style="position:absolute;margin-left:0;margin-top:-33.6pt;width:543pt;height:81.4pt;z-index:251655680;visibility:visible;mso-wrap-style:square;mso-width-percent:0;mso-height-percent:200;mso-wrap-distance-left:9pt;mso-wrap-distance-top:0;mso-wrap-distance-right:9pt;mso-wrap-distance-bottom:0;mso-position-horizontal:lef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" filled="f" stroked="f">
                <v:textbox style="mso-fit-shape-to-text:t">
                  <w:txbxContent>
                    <w:p w14:paraId="01594F49" w14:textId="655CEBC1" w:rsidR="00922A64" w:rsidRPr="00AC582C" w:rsidRDefault="006B5D8D" w:rsidP="005105F7">
                      <w:pPr>
                        <w:spacing w:after="0" w:line="240" w:lineRule="auto"/>
                        <w:jc w:val="right"/>
                        <w:rPr>
                          <w:rFonts w:ascii="Arial" w:hAnsi="Arial" w:cs="Arial"/>
                          <w:b/>
                          <w:bCs/>
                          <w:color w:val="193E75"/>
                          <w:sz w:val="80"/>
                          <w:szCs w:val="80"/>
                        </w:rPr>
                      </w:pPr>
                      <w:r>
                        <w:rPr>
                          <w:rFonts w:ascii="Arial" w:hAnsi="Arial" w:cs="Arial"/>
                          <w:b/>
                          <w:bCs/>
                          <w:color w:val="193E75"/>
                          <w:sz w:val="80"/>
                          <w:szCs w:val="80"/>
                        </w:rPr>
                        <w:t>Country Results</w:t>
                      </w:r>
                      <w:r w:rsidR="007D3ECF">
                        <w:rPr>
                          <w:rFonts w:ascii="Arial" w:hAnsi="Arial" w:cs="Arial"/>
                          <w:b/>
                          <w:bCs/>
                          <w:color w:val="193E75"/>
                          <w:sz w:val="80"/>
                          <w:szCs w:val="80"/>
                        </w:rPr>
                        <w:t xml:space="preserve"> Report</w:t>
                      </w:r>
                    </w:p>
                    <w:p w14:paraId="684158BA" w14:textId="2B689F68" w:rsidR="005105F7" w:rsidRPr="000D1CE7" w:rsidRDefault="00775FE3" w:rsidP="005105F7">
                      <w:pPr>
                        <w:spacing w:after="0" w:line="240" w:lineRule="auto"/>
                        <w:jc w:val="right"/>
                        <w:rPr>
                          <w:rFonts w:ascii="Arial" w:hAnsi="Arial" w:cs="Arial"/>
                          <w:color w:val="193E75"/>
                          <w:sz w:val="24"/>
                          <w:szCs w:val="24"/>
                        </w:rPr>
                      </w:pPr>
                      <w:r w:rsidRPr="000D1CE7">
                        <w:rPr>
                          <w:rFonts w:ascii="Arial" w:hAnsi="Arial" w:cs="Arial"/>
                          <w:color w:val="193E75"/>
                          <w:sz w:val="24"/>
                          <w:szCs w:val="24"/>
                        </w:rPr>
                        <w:t>The Biodiversity Finance Initiative (</w:t>
                      </w:r>
                      <w:r w:rsidR="005105F7" w:rsidRPr="000D1CE7">
                        <w:rPr>
                          <w:rFonts w:ascii="Arial" w:hAnsi="Arial" w:cs="Arial"/>
                          <w:b/>
                          <w:bCs/>
                          <w:color w:val="193E75"/>
                          <w:sz w:val="24"/>
                          <w:szCs w:val="24"/>
                        </w:rPr>
                        <w:t>BIOFIN</w:t>
                      </w:r>
                      <w:r w:rsidRPr="000D1CE7">
                        <w:rPr>
                          <w:rFonts w:ascii="Arial" w:hAnsi="Arial" w:cs="Arial"/>
                          <w:color w:val="193E75"/>
                          <w:sz w:val="24"/>
                          <w:szCs w:val="24"/>
                        </w:rPr>
                        <w:t>)</w:t>
                      </w:r>
                      <w:r w:rsidR="005105F7" w:rsidRPr="000D1CE7">
                        <w:rPr>
                          <w:rFonts w:ascii="Arial" w:hAnsi="Arial" w:cs="Arial"/>
                          <w:color w:val="193E75"/>
                          <w:sz w:val="24"/>
                          <w:szCs w:val="24"/>
                        </w:rPr>
                        <w:t xml:space="preserve"> </w:t>
                      </w:r>
                      <w:r w:rsidR="000D1CE7" w:rsidRPr="000D1CE7">
                        <w:rPr>
                          <w:rFonts w:ascii="Arial" w:hAnsi="Arial" w:cs="Arial"/>
                          <w:color w:val="193E75"/>
                          <w:sz w:val="24"/>
                          <w:szCs w:val="24"/>
                        </w:rPr>
                        <w:t>pro</w:t>
                      </w:r>
                      <w:r w:rsidR="009612FF">
                        <w:rPr>
                          <w:rFonts w:ascii="Arial" w:hAnsi="Arial" w:cs="Arial"/>
                          <w:color w:val="193E75"/>
                          <w:sz w:val="24"/>
                          <w:szCs w:val="24"/>
                        </w:rPr>
                        <w:t>gramme</w:t>
                      </w:r>
                      <w:r w:rsidR="000D1CE7" w:rsidRPr="000D1CE7">
                        <w:rPr>
                          <w:rFonts w:ascii="Arial" w:hAnsi="Arial" w:cs="Arial"/>
                          <w:color w:val="193E75"/>
                          <w:sz w:val="24"/>
                          <w:szCs w:val="24"/>
                        </w:rPr>
                        <w:t xml:space="preserve"> in </w:t>
                      </w:r>
                      <w:r w:rsidR="00BF5333">
                        <w:rPr>
                          <w:rFonts w:ascii="Arial" w:hAnsi="Arial" w:cs="Arial"/>
                          <w:b/>
                          <w:bCs/>
                          <w:color w:val="193E75"/>
                          <w:sz w:val="24"/>
                          <w:szCs w:val="24"/>
                        </w:rPr>
                        <w:t>the Kyrgyz Republic</w:t>
                      </w:r>
                    </w:p>
                    <w:p w14:paraId="5A4365C1" w14:textId="297D7148" w:rsidR="00922A64" w:rsidRPr="00FD34A0" w:rsidRDefault="005105F7" w:rsidP="005105F7">
                      <w:pPr>
                        <w:spacing w:after="0" w:line="240" w:lineRule="auto"/>
                        <w:jc w:val="right"/>
                        <w:rPr>
                          <w:rFonts w:ascii="Arial" w:hAnsi="Arial" w:cs="Arial"/>
                          <w:color w:val="193E75"/>
                          <w:sz w:val="24"/>
                          <w:szCs w:val="24"/>
                        </w:rPr>
                      </w:pPr>
                      <w:r w:rsidRPr="00FD34A0">
                        <w:rPr>
                          <w:rFonts w:ascii="Arial" w:hAnsi="Arial" w:cs="Arial"/>
                          <w:b/>
                          <w:bCs/>
                          <w:color w:val="193E75"/>
                          <w:sz w:val="24"/>
                          <w:szCs w:val="24"/>
                        </w:rPr>
                        <w:t>REPORTING PERIOD</w:t>
                      </w:r>
                      <w:r w:rsidRPr="00FD34A0">
                        <w:rPr>
                          <w:rFonts w:ascii="Arial" w:hAnsi="Arial" w:cs="Arial"/>
                          <w:color w:val="193E75"/>
                          <w:sz w:val="24"/>
                          <w:szCs w:val="24"/>
                        </w:rPr>
                        <w:t>: January to</w:t>
                      </w:r>
                      <w:r w:rsidR="008F362C" w:rsidRPr="00FD34A0">
                        <w:rPr>
                          <w:rFonts w:ascii="Arial" w:hAnsi="Arial" w:cs="Arial"/>
                          <w:color w:val="193E75"/>
                          <w:sz w:val="24"/>
                          <w:szCs w:val="24"/>
                        </w:rPr>
                        <w:t xml:space="preserve"> </w:t>
                      </w:r>
                      <w:r w:rsidR="009722F0">
                        <w:rPr>
                          <w:rFonts w:ascii="Arial" w:hAnsi="Arial" w:cs="Arial"/>
                          <w:color w:val="193E75"/>
                          <w:sz w:val="24"/>
                          <w:szCs w:val="24"/>
                        </w:rPr>
                        <w:t>December</w:t>
                      </w:r>
                      <w:r w:rsidR="00323C2A">
                        <w:rPr>
                          <w:rFonts w:ascii="Arial" w:hAnsi="Arial" w:cs="Arial"/>
                          <w:color w:val="193E75"/>
                          <w:sz w:val="24"/>
                          <w:szCs w:val="24"/>
                        </w:rPr>
                        <w:t xml:space="preserve"> 2025</w:t>
                      </w:r>
                      <w:r w:rsidR="00B63B2D" w:rsidRPr="00FD34A0">
                        <w:rPr>
                          <w:rFonts w:ascii="Arial" w:hAnsi="Arial" w:cs="Arial"/>
                          <w:color w:val="193E75"/>
                          <w:sz w:val="24"/>
                          <w:szCs w:val="24"/>
                        </w:rPr>
                        <w:t xml:space="preserve"> </w:t>
                      </w:r>
                    </w:p>
                  </w:txbxContent>
                </v:textbox>
                <w10:wrap anchorx="page"/>
              </v:shape>
            </w:pict>
          </mc:Fallback>
        </mc:AlternateContent>
      </w:r>
    </w:p>
    <w:p w14:paraId="25C13F83" w14:textId="5BDCBD16" w:rsidR="00B63B2D" w:rsidRPr="007969E9" w:rsidRDefault="00922A64" w:rsidP="00531CC4">
      <w:pPr>
        <w:rPr>
          <w:rFonts w:ascii="Arial" w:hAnsi="Arial" w:cs="Arial"/>
        </w:rPr>
      </w:pPr>
      <w:r w:rsidRPr="007969E9">
        <w:rPr>
          <w:rFonts w:ascii="Arial" w:hAnsi="Arial" w:cs="Arial"/>
        </w:rPr>
        <w:t xml:space="preserve"> </w:t>
      </w:r>
    </w:p>
    <w:p w14:paraId="01AE4808" w14:textId="4CB75EF2" w:rsidR="008C615A" w:rsidRPr="007969E9" w:rsidRDefault="00AC582C" w:rsidP="00531CC4">
      <w:pPr>
        <w:rPr>
          <w:rFonts w:ascii="Arial" w:hAnsi="Arial" w:cs="Arial"/>
        </w:rPr>
      </w:pPr>
      <w:r w:rsidRPr="007969E9">
        <w:rPr>
          <w:rFonts w:ascii="Arial" w:hAnsi="Arial" w:cs="Arial"/>
          <w:noProof/>
        </w:rPr>
        <mc:AlternateContent>
          <mc:Choice Requires="wpg">
            <w:drawing>
              <wp:anchor distT="0" distB="0" distL="114300" distR="114300" simplePos="0" relativeHeight="251680256" behindDoc="0" locked="0" layoutInCell="1" allowOverlap="1" wp14:anchorId="35C40ABA" wp14:editId="3470986E">
                <wp:simplePos x="0" y="0"/>
                <wp:positionH relativeFrom="column">
                  <wp:posOffset>1456690</wp:posOffset>
                </wp:positionH>
                <wp:positionV relativeFrom="paragraph">
                  <wp:posOffset>280987</wp:posOffset>
                </wp:positionV>
                <wp:extent cx="4528184" cy="855982"/>
                <wp:effectExtent l="0" t="0" r="0" b="1270"/>
                <wp:wrapNone/>
                <wp:docPr id="1073742734" name="Group 1073742734"/>
                <wp:cNvGraphicFramePr/>
                <a:graphic xmlns:a="http://schemas.openxmlformats.org/drawingml/2006/main">
                  <a:graphicData uri="http://schemas.microsoft.com/office/word/2010/wordprocessingGroup">
                    <wpg:wgp>
                      <wpg:cNvGrpSpPr/>
                      <wpg:grpSpPr>
                        <a:xfrm>
                          <a:off x="0" y="0"/>
                          <a:ext cx="4528184" cy="855982"/>
                          <a:chOff x="-2662237" y="0"/>
                          <a:chExt cx="4528184" cy="855982"/>
                        </a:xfrm>
                      </wpg:grpSpPr>
                      <wps:wsp>
                        <wps:cNvPr id="51" name="Text Box 2"/>
                        <wps:cNvSpPr txBox="1">
                          <a:spLocks noChangeArrowheads="1"/>
                        </wps:cNvSpPr>
                        <wps:spPr bwMode="auto">
                          <a:xfrm>
                            <a:off x="-2662237" y="193678"/>
                            <a:ext cx="4528184" cy="662304"/>
                          </a:xfrm>
                          <a:prstGeom prst="rect">
                            <a:avLst/>
                          </a:prstGeom>
                          <a:noFill/>
                          <a:ln w="9525">
                            <a:noFill/>
                            <a:miter lim="800000"/>
                            <a:headEnd/>
                            <a:tailEnd/>
                          </a:ln>
                        </wps:spPr>
                        <wps:txbx>
                          <w:txbxContent>
                            <w:p w14:paraId="1F22D93E" w14:textId="5B1CD78E" w:rsidR="00342099" w:rsidRPr="008F362C" w:rsidRDefault="009722F0" w:rsidP="00764385">
                              <w:pPr>
                                <w:spacing w:after="120" w:line="240" w:lineRule="auto"/>
                                <w:jc w:val="right"/>
                                <w:rPr>
                                  <w:rFonts w:ascii="Arial" w:hAnsi="Arial" w:cs="Arial"/>
                                  <w:color w:val="193E75"/>
                                  <w:sz w:val="28"/>
                                  <w:szCs w:val="28"/>
                                  <w:lang w:val="en-AU"/>
                                </w:rPr>
                              </w:pPr>
                              <w:r>
                                <w:rPr>
                                  <w:rFonts w:ascii="Arial" w:hAnsi="Arial" w:cs="Arial"/>
                                  <w:color w:val="193E75"/>
                                  <w:sz w:val="28"/>
                                  <w:szCs w:val="28"/>
                                  <w:lang w:val="en-AU"/>
                                </w:rPr>
                                <w:t>December</w:t>
                              </w:r>
                              <w:r w:rsidR="00FF3505">
                                <w:rPr>
                                  <w:rFonts w:ascii="Arial" w:hAnsi="Arial" w:cs="Arial"/>
                                  <w:color w:val="193E75"/>
                                  <w:sz w:val="28"/>
                                  <w:szCs w:val="28"/>
                                  <w:lang w:val="en-AU"/>
                                </w:rPr>
                                <w:t>, 202</w:t>
                              </w:r>
                              <w:r w:rsidR="00323C2A">
                                <w:rPr>
                                  <w:rFonts w:ascii="Arial" w:hAnsi="Arial" w:cs="Arial"/>
                                  <w:color w:val="193E75"/>
                                  <w:sz w:val="28"/>
                                  <w:szCs w:val="28"/>
                                  <w:lang w:val="en-AU"/>
                                </w:rPr>
                                <w:t>5</w:t>
                              </w:r>
                            </w:p>
                            <w:p w14:paraId="6913AABD" w14:textId="427E6A70" w:rsidR="00764385" w:rsidRPr="008F362C" w:rsidRDefault="00764385" w:rsidP="00764385">
                              <w:pPr>
                                <w:spacing w:after="120" w:line="240" w:lineRule="auto"/>
                                <w:jc w:val="right"/>
                                <w:rPr>
                                  <w:rFonts w:ascii="Arial" w:hAnsi="Arial" w:cs="Arial"/>
                                  <w:color w:val="193E75"/>
                                  <w:sz w:val="28"/>
                                  <w:szCs w:val="28"/>
                                  <w:lang w:val="en-AU"/>
                                </w:rPr>
                              </w:pPr>
                            </w:p>
                          </w:txbxContent>
                        </wps:txbx>
                        <wps:bodyPr rot="0" vert="horz" wrap="square" lIns="91440" tIns="45720" rIns="91440" bIns="45720" anchor="t" anchorCtr="0">
                          <a:spAutoFit/>
                        </wps:bodyPr>
                      </wps:wsp>
                      <wps:wsp>
                        <wps:cNvPr id="60" name="Straight Connector 60"/>
                        <wps:cNvCnPr/>
                        <wps:spPr>
                          <a:xfrm flipH="1">
                            <a:off x="900545" y="0"/>
                            <a:ext cx="854710" cy="0"/>
                          </a:xfrm>
                          <a:prstGeom prst="line">
                            <a:avLst/>
                          </a:prstGeom>
                          <a:ln w="12700">
                            <a:solidFill>
                              <a:srgbClr val="193E75"/>
                            </a:solidFill>
                          </a:ln>
                        </wps:spPr>
                        <wps:style>
                          <a:lnRef idx="1">
                            <a:schemeClr val="accent6"/>
                          </a:lnRef>
                          <a:fillRef idx="0">
                            <a:schemeClr val="accent6"/>
                          </a:fillRef>
                          <a:effectRef idx="0">
                            <a:schemeClr val="accent6"/>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5C40ABA" id="Group 1073742734" o:spid="_x0000_s1027" style="position:absolute;margin-left:114.7pt;margin-top:22.1pt;width:356.55pt;height:67.4pt;z-index:251680256;mso-width-relative:margin;mso-height-relative:margin" coordorigin="-26622" coordsize="45281,85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">
                <v:shape id="_x0000_s1028" type="#_x0000_t202" style="position:absolute;left:-26622;top:1936;width:45281;height:6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" filled="f" stroked="f">
                  <v:textbox style="mso-fit-shape-to-text:t">
                    <w:txbxContent>
                      <w:p w14:paraId="1F22D93E" w14:textId="5B1CD78E" w:rsidR="00342099" w:rsidRPr="008F362C" w:rsidRDefault="009722F0" w:rsidP="00764385">
                        <w:pPr>
                          <w:spacing w:after="120" w:line="240" w:lineRule="auto"/>
                          <w:jc w:val="right"/>
                          <w:rPr>
                            <w:rFonts w:ascii="Arial" w:hAnsi="Arial" w:cs="Arial"/>
                            <w:color w:val="193E75"/>
                            <w:sz w:val="28"/>
                            <w:szCs w:val="28"/>
                            <w:lang w:val="en-AU"/>
                          </w:rPr>
                        </w:pPr>
                        <w:r>
                          <w:rPr>
                            <w:rFonts w:ascii="Arial" w:hAnsi="Arial" w:cs="Arial"/>
                            <w:color w:val="193E75"/>
                            <w:sz w:val="28"/>
                            <w:szCs w:val="28"/>
                            <w:lang w:val="en-AU"/>
                          </w:rPr>
                          <w:t>December</w:t>
                        </w:r>
                        <w:r w:rsidR="00FF3505">
                          <w:rPr>
                            <w:rFonts w:ascii="Arial" w:hAnsi="Arial" w:cs="Arial"/>
                            <w:color w:val="193E75"/>
                            <w:sz w:val="28"/>
                            <w:szCs w:val="28"/>
                            <w:lang w:val="en-AU"/>
                          </w:rPr>
                          <w:t>, 202</w:t>
                        </w:r>
                        <w:r w:rsidR="00323C2A">
                          <w:rPr>
                            <w:rFonts w:ascii="Arial" w:hAnsi="Arial" w:cs="Arial"/>
                            <w:color w:val="193E75"/>
                            <w:sz w:val="28"/>
                            <w:szCs w:val="28"/>
                            <w:lang w:val="en-AU"/>
                          </w:rPr>
                          <w:t>5</w:t>
                        </w:r>
                      </w:p>
                      <w:p w14:paraId="6913AABD" w14:textId="427E6A70" w:rsidR="00764385" w:rsidRPr="008F362C" w:rsidRDefault="00764385" w:rsidP="00764385">
                        <w:pPr>
                          <w:spacing w:after="120" w:line="240" w:lineRule="auto"/>
                          <w:jc w:val="right"/>
                          <w:rPr>
                            <w:rFonts w:ascii="Arial" w:hAnsi="Arial" w:cs="Arial"/>
                            <w:color w:val="193E75"/>
                            <w:sz w:val="28"/>
                            <w:szCs w:val="28"/>
                            <w:lang w:val="en-AU"/>
                          </w:rPr>
                        </w:pPr>
                      </w:p>
                    </w:txbxContent>
                  </v:textbox>
                </v:shape>
                <v:line id="Straight Connector 60" o:spid="_x0000_s1029" style="position:absolute;flip:x;visibility:visible;mso-wrap-style:square" from="9005,0" to="175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" strokecolor="#193e75" strokeweight="1pt"/>
              </v:group>
            </w:pict>
          </mc:Fallback>
        </mc:AlternateContent>
      </w:r>
    </w:p>
    <w:p w14:paraId="33017616" w14:textId="3F40884D" w:rsidR="008C615A" w:rsidRPr="007969E9" w:rsidRDefault="008C615A" w:rsidP="00531CC4">
      <w:pPr>
        <w:rPr>
          <w:rFonts w:ascii="Arial" w:hAnsi="Arial" w:cs="Arial"/>
        </w:rPr>
      </w:pPr>
    </w:p>
    <w:p w14:paraId="7C46AC97" w14:textId="452D83F8" w:rsidR="008C615A" w:rsidRDefault="008C615A" w:rsidP="00531CC4">
      <w:pPr>
        <w:rPr>
          <w:rFonts w:ascii="Arial" w:hAnsi="Arial" w:cs="Arial"/>
          <w:noProof/>
        </w:rPr>
      </w:pPr>
    </w:p>
    <w:p w14:paraId="0FAB1B39" w14:textId="20A21959" w:rsidR="001B76BE" w:rsidRDefault="001B76BE" w:rsidP="00531CC4">
      <w:pPr>
        <w:rPr>
          <w:rFonts w:ascii="Arial" w:hAnsi="Arial" w:cs="Arial"/>
          <w:noProof/>
        </w:rPr>
      </w:pPr>
      <w:r>
        <w:rPr>
          <w:rFonts w:ascii="Arial" w:hAnsi="Arial" w:cs="Arial"/>
          <w:noProof/>
        </w:rPr>
        <w:drawing>
          <wp:inline distT="0" distB="0" distL="0" distR="0" wp14:anchorId="05B339F0" wp14:editId="4A14739C">
            <wp:extent cx="6026150" cy="5422900"/>
            <wp:effectExtent l="0" t="0" r="0" b="6350"/>
            <wp:docPr id="281572731" name="Рисунок 9" descr="Изображение выглядит как гора, природа, на открытом воздухе, пейзаж&#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572731" name="Рисунок 9" descr="Изображение выглядит как гора, природа, на открытом воздухе, пейзаж&#10;&#10;Содержимое, созданное искусственным интеллектом, может быть неверным."/>
                    <pic:cNvPicPr/>
                  </pic:nvPicPr>
                  <pic:blipFill>
                    <a:blip r:embed="rId11"/>
                    <a:stretch>
                      <a:fillRect/>
                    </a:stretch>
                  </pic:blipFill>
                  <pic:spPr>
                    <a:xfrm>
                      <a:off x="0" y="0"/>
                      <a:ext cx="6029946" cy="5426316"/>
                    </a:xfrm>
                    <a:prstGeom prst="rect">
                      <a:avLst/>
                    </a:prstGeom>
                  </pic:spPr>
                </pic:pic>
              </a:graphicData>
            </a:graphic>
          </wp:inline>
        </w:drawing>
      </w:r>
    </w:p>
    <w:p w14:paraId="11FFB0D5" w14:textId="77777777" w:rsidR="001C0F28" w:rsidRPr="007969E9" w:rsidRDefault="001C0F28" w:rsidP="0035636B">
      <w:pPr>
        <w:spacing w:after="120" w:line="276" w:lineRule="auto"/>
        <w:rPr>
          <w:rFonts w:ascii="Arial" w:hAnsi="Arial" w:cs="Arial"/>
          <w:color w:val="21409A"/>
          <w:sz w:val="26"/>
          <w:szCs w:val="26"/>
          <w:lang w:val="en-AU"/>
        </w:rPr>
      </w:pPr>
    </w:p>
    <w:p w14:paraId="7C46D62A" w14:textId="2DDB51F5" w:rsidR="008C615A" w:rsidRPr="007969E9" w:rsidRDefault="001854F8" w:rsidP="0035636B">
      <w:pPr>
        <w:spacing w:after="120" w:line="276" w:lineRule="auto"/>
        <w:rPr>
          <w:rFonts w:ascii="Arial" w:hAnsi="Arial" w:cs="Arial"/>
          <w:lang w:val="en-AU"/>
        </w:rPr>
      </w:pPr>
      <w:r w:rsidRPr="007969E9">
        <w:rPr>
          <w:rFonts w:ascii="Arial" w:hAnsi="Arial" w:cs="Arial"/>
          <w:color w:val="21409A"/>
          <w:sz w:val="26"/>
          <w:szCs w:val="26"/>
          <w:lang w:val="en-AU"/>
        </w:rPr>
        <w:t>BIOFIN</w:t>
      </w:r>
      <w:r w:rsidR="00E16451" w:rsidRPr="007969E9">
        <w:rPr>
          <w:rFonts w:ascii="Arial" w:hAnsi="Arial" w:cs="Arial"/>
          <w:color w:val="21409A"/>
          <w:sz w:val="26"/>
          <w:szCs w:val="26"/>
          <w:lang w:val="en-AU"/>
        </w:rPr>
        <w:t xml:space="preserve"> COUNT</w:t>
      </w:r>
      <w:r w:rsidR="00333F88" w:rsidRPr="007969E9">
        <w:rPr>
          <w:rFonts w:ascii="Arial" w:hAnsi="Arial" w:cs="Arial"/>
          <w:color w:val="21409A"/>
          <w:sz w:val="26"/>
          <w:szCs w:val="26"/>
          <w:lang w:val="en-AU"/>
        </w:rPr>
        <w:t>R</w:t>
      </w:r>
      <w:r w:rsidR="00E16451" w:rsidRPr="007969E9">
        <w:rPr>
          <w:rFonts w:ascii="Arial" w:hAnsi="Arial" w:cs="Arial"/>
          <w:color w:val="21409A"/>
          <w:sz w:val="26"/>
          <w:szCs w:val="26"/>
          <w:lang w:val="en-AU"/>
        </w:rPr>
        <w:t>Y PRO</w:t>
      </w:r>
      <w:r w:rsidR="009612FF" w:rsidRPr="007969E9">
        <w:rPr>
          <w:rFonts w:ascii="Arial" w:hAnsi="Arial" w:cs="Arial"/>
          <w:color w:val="21409A"/>
          <w:sz w:val="26"/>
          <w:szCs w:val="26"/>
          <w:lang w:val="en-AU"/>
        </w:rPr>
        <w:t>GRAMME</w:t>
      </w:r>
    </w:p>
    <w:p w14:paraId="19077317" w14:textId="123F7695" w:rsidR="00334E97" w:rsidRPr="007969E9" w:rsidRDefault="008C615A" w:rsidP="006869A1">
      <w:pPr>
        <w:tabs>
          <w:tab w:val="left" w:pos="7400"/>
        </w:tabs>
        <w:spacing w:after="60" w:line="276" w:lineRule="auto"/>
        <w:rPr>
          <w:rFonts w:ascii="Arial" w:hAnsi="Arial" w:cs="Arial"/>
          <w:sz w:val="18"/>
          <w:szCs w:val="18"/>
          <w:lang w:val="en-AU"/>
        </w:rPr>
        <w:sectPr w:rsidR="00334E97" w:rsidRPr="007969E9" w:rsidSect="002B391B">
          <w:headerReference w:type="default" r:id="rId12"/>
          <w:footerReference w:type="default" r:id="rId13"/>
          <w:pgSz w:w="11900" w:h="16840" w:code="9"/>
          <w:pgMar w:top="1985" w:right="1418" w:bottom="567" w:left="1418" w:header="0" w:footer="0" w:gutter="0"/>
          <w:pgNumType w:fmt="lowerRoman" w:start="1"/>
          <w:cols w:space="708"/>
          <w:docGrid w:linePitch="299"/>
        </w:sectPr>
      </w:pPr>
      <w:r w:rsidRPr="007969E9">
        <w:rPr>
          <w:rFonts w:ascii="Arial" w:hAnsi="Arial" w:cs="Arial"/>
          <w:b/>
          <w:bCs/>
          <w:color w:val="21409A"/>
          <w:sz w:val="18"/>
          <w:szCs w:val="18"/>
          <w:lang w:val="en-AU"/>
        </w:rPr>
        <w:t>W:</w:t>
      </w:r>
      <w:r w:rsidRPr="007969E9">
        <w:rPr>
          <w:rFonts w:ascii="Arial" w:hAnsi="Arial" w:cs="Arial"/>
          <w:color w:val="21409A"/>
          <w:sz w:val="18"/>
          <w:szCs w:val="18"/>
          <w:lang w:val="en-AU"/>
        </w:rPr>
        <w:t xml:space="preserve"> </w:t>
      </w:r>
      <w:r w:rsidR="00977C66" w:rsidRPr="007969E9">
        <w:rPr>
          <w:rFonts w:ascii="Arial" w:hAnsi="Arial" w:cs="Arial"/>
          <w:sz w:val="18"/>
          <w:szCs w:val="18"/>
          <w:lang w:val="en-AU"/>
        </w:rPr>
        <w:t>https://www.biofin.org/index.php/[</w:t>
      </w:r>
      <w:r w:rsidR="00563AD7" w:rsidRPr="007969E9">
        <w:rPr>
          <w:rFonts w:ascii="Arial" w:hAnsi="Arial" w:cs="Arial"/>
          <w:sz w:val="18"/>
          <w:szCs w:val="18"/>
          <w:highlight w:val="lightGray"/>
          <w:lang w:val="en-AU"/>
        </w:rPr>
        <w:t>Kyrgyzstan</w:t>
      </w:r>
    </w:p>
    <w:p w14:paraId="2DECAA8E" w14:textId="19048168" w:rsidR="009C504B" w:rsidRPr="007969E9" w:rsidRDefault="009612FF" w:rsidP="00AF0F08">
      <w:pPr>
        <w:autoSpaceDE/>
        <w:autoSpaceDN/>
        <w:adjustRightInd/>
        <w:spacing w:after="0" w:line="240" w:lineRule="auto"/>
        <w:rPr>
          <w:rFonts w:ascii="Arial" w:hAnsi="Arial" w:cs="Arial"/>
          <w:b/>
          <w:bCs/>
          <w:lang w:val="en-GB"/>
        </w:rPr>
      </w:pPr>
      <w:r w:rsidRPr="007969E9">
        <w:rPr>
          <w:rFonts w:ascii="Arial" w:hAnsi="Arial" w:cs="Arial"/>
          <w:b/>
          <w:bCs/>
          <w:lang w:val="en-GB"/>
        </w:rPr>
        <w:lastRenderedPageBreak/>
        <w:t xml:space="preserve">BIOFIN COUNTRY </w:t>
      </w:r>
      <w:r w:rsidR="009C504B" w:rsidRPr="007969E9">
        <w:rPr>
          <w:rFonts w:ascii="Arial" w:hAnsi="Arial" w:cs="Arial"/>
          <w:b/>
          <w:bCs/>
          <w:lang w:val="en-GB"/>
        </w:rPr>
        <w:t>PRO</w:t>
      </w:r>
      <w:r w:rsidRPr="007969E9">
        <w:rPr>
          <w:rFonts w:ascii="Arial" w:hAnsi="Arial" w:cs="Arial"/>
          <w:b/>
          <w:bCs/>
          <w:lang w:val="en-GB"/>
        </w:rPr>
        <w:t>GRAMME</w:t>
      </w:r>
      <w:r w:rsidR="009C504B" w:rsidRPr="007969E9">
        <w:rPr>
          <w:rFonts w:ascii="Arial" w:hAnsi="Arial" w:cs="Arial"/>
          <w:b/>
          <w:bCs/>
          <w:lang w:val="en-GB"/>
        </w:rPr>
        <w:t xml:space="preserve"> PROFILE</w:t>
      </w:r>
    </w:p>
    <w:p w14:paraId="0E1B5E60" w14:textId="77777777" w:rsidR="00563AD7" w:rsidRPr="007969E9" w:rsidRDefault="00563AD7" w:rsidP="009C504B">
      <w:pPr>
        <w:pStyle w:val="a0"/>
        <w:rPr>
          <w:color w:val="808080"/>
          <w:sz w:val="18"/>
          <w:szCs w:val="18"/>
          <w:lang w:val="en-GB"/>
        </w:rPr>
      </w:pPr>
    </w:p>
    <w:p w14:paraId="6B57C274" w14:textId="2AEBD12D" w:rsidR="009C504B" w:rsidRPr="007969E9" w:rsidRDefault="009612FF" w:rsidP="009C504B">
      <w:pPr>
        <w:pStyle w:val="a0"/>
        <w:rPr>
          <w:lang w:val="en-GB"/>
        </w:rPr>
      </w:pPr>
      <w:r w:rsidRPr="007969E9">
        <w:rPr>
          <w:b/>
          <w:bCs/>
          <w:lang w:val="en-GB"/>
        </w:rPr>
        <w:t>Country</w:t>
      </w:r>
      <w:r w:rsidR="009C504B" w:rsidRPr="007969E9">
        <w:rPr>
          <w:lang w:val="en-GB"/>
        </w:rPr>
        <w:t xml:space="preserve">: </w:t>
      </w:r>
      <w:r w:rsidR="00563AD7" w:rsidRPr="007969E9">
        <w:rPr>
          <w:lang w:val="en-GB"/>
        </w:rPr>
        <w:t>the Kyrgyz Republic</w:t>
      </w:r>
      <w:r w:rsidR="005915FA" w:rsidRPr="007969E9">
        <w:rPr>
          <w:lang w:val="en-GB"/>
        </w:rPr>
        <w:t xml:space="preserve"> (KR)</w:t>
      </w:r>
    </w:p>
    <w:p w14:paraId="714EE632" w14:textId="1626271A" w:rsidR="00055BA7" w:rsidRPr="007969E9" w:rsidRDefault="00055BA7" w:rsidP="009C504B">
      <w:pPr>
        <w:pStyle w:val="a0"/>
        <w:rPr>
          <w:lang w:val="en-GB"/>
        </w:rPr>
      </w:pPr>
      <w:bookmarkStart w:id="0" w:name="_Hlk97655986"/>
      <w:r w:rsidRPr="007969E9">
        <w:rPr>
          <w:b/>
          <w:bCs/>
          <w:lang w:val="en-GB"/>
        </w:rPr>
        <w:t>Geographic coverage</w:t>
      </w:r>
      <w:r w:rsidRPr="007969E9">
        <w:rPr>
          <w:lang w:val="en-GB"/>
        </w:rPr>
        <w:t xml:space="preserve">: </w:t>
      </w:r>
      <w:r w:rsidR="00563AD7" w:rsidRPr="007969E9">
        <w:rPr>
          <w:lang w:val="en-GB"/>
        </w:rPr>
        <w:t>Country-wide</w:t>
      </w:r>
    </w:p>
    <w:bookmarkEnd w:id="0"/>
    <w:p w14:paraId="20CBD72D" w14:textId="55AD13AC" w:rsidR="009C504B" w:rsidRPr="009566B8" w:rsidRDefault="009C504B" w:rsidP="009C504B">
      <w:pPr>
        <w:pStyle w:val="a0"/>
      </w:pPr>
      <w:r w:rsidRPr="007969E9">
        <w:rPr>
          <w:b/>
          <w:bCs/>
          <w:lang w:val="en-GB"/>
        </w:rPr>
        <w:t>Pro</w:t>
      </w:r>
      <w:r w:rsidR="009612FF" w:rsidRPr="007969E9">
        <w:rPr>
          <w:b/>
          <w:bCs/>
          <w:lang w:val="en-GB"/>
        </w:rPr>
        <w:t>gramme</w:t>
      </w:r>
      <w:r w:rsidRPr="007969E9">
        <w:rPr>
          <w:b/>
          <w:bCs/>
          <w:lang w:val="en-GB"/>
        </w:rPr>
        <w:t xml:space="preserve"> period</w:t>
      </w:r>
      <w:r w:rsidR="005A5B31" w:rsidRPr="007969E9">
        <w:rPr>
          <w:b/>
          <w:bCs/>
          <w:lang w:val="en-GB"/>
        </w:rPr>
        <w:t xml:space="preserve"> </w:t>
      </w:r>
      <w:r w:rsidR="005A5B31" w:rsidRPr="007969E9">
        <w:rPr>
          <w:lang w:val="en-GB"/>
        </w:rPr>
        <w:t>(</w:t>
      </w:r>
      <w:r w:rsidR="00C35948" w:rsidRPr="007969E9">
        <w:rPr>
          <w:lang w:val="en-GB"/>
        </w:rPr>
        <w:t>as funded by Phase II/Phase II Extended funds</w:t>
      </w:r>
      <w:r w:rsidR="005A5B31" w:rsidRPr="007969E9">
        <w:rPr>
          <w:lang w:val="en-GB"/>
        </w:rPr>
        <w:t>)</w:t>
      </w:r>
      <w:r w:rsidRPr="007969E9">
        <w:rPr>
          <w:lang w:val="en-GB"/>
        </w:rPr>
        <w:t xml:space="preserve">: </w:t>
      </w:r>
      <w:r w:rsidR="00563AD7" w:rsidRPr="007969E9">
        <w:rPr>
          <w:lang w:val="en-GB"/>
        </w:rPr>
        <w:t>2019-20</w:t>
      </w:r>
      <w:r w:rsidR="009566B8" w:rsidRPr="009566B8">
        <w:t>30</w:t>
      </w:r>
    </w:p>
    <w:p w14:paraId="20A92E90" w14:textId="4ABC94C1" w:rsidR="009C504B" w:rsidRPr="007969E9" w:rsidRDefault="009612FF" w:rsidP="002370C5">
      <w:pPr>
        <w:pStyle w:val="a0"/>
        <w:rPr>
          <w:lang w:val="en-GB"/>
        </w:rPr>
      </w:pPr>
      <w:r w:rsidRPr="007969E9">
        <w:rPr>
          <w:b/>
          <w:bCs/>
          <w:lang w:val="en-GB"/>
        </w:rPr>
        <w:t>B</w:t>
      </w:r>
      <w:r w:rsidR="009C504B" w:rsidRPr="007969E9">
        <w:rPr>
          <w:b/>
          <w:bCs/>
          <w:lang w:val="en-GB"/>
        </w:rPr>
        <w:t>udget</w:t>
      </w:r>
      <w:r w:rsidR="005F5091" w:rsidRPr="007969E9">
        <w:rPr>
          <w:b/>
          <w:bCs/>
          <w:lang w:val="en-GB"/>
        </w:rPr>
        <w:t xml:space="preserve"> </w:t>
      </w:r>
      <w:r w:rsidR="005F5091" w:rsidRPr="007969E9">
        <w:rPr>
          <w:lang w:val="en-GB"/>
        </w:rPr>
        <w:t>(from Phase II/Phase II Extended funds)</w:t>
      </w:r>
      <w:r w:rsidR="009C504B" w:rsidRPr="007969E9">
        <w:rPr>
          <w:lang w:val="en-GB"/>
        </w:rPr>
        <w:t xml:space="preserve">: </w:t>
      </w:r>
      <w:r w:rsidR="00E07963" w:rsidRPr="007969E9">
        <w:rPr>
          <w:lang w:val="en-GB"/>
        </w:rPr>
        <w:t xml:space="preserve">USD </w:t>
      </w:r>
      <w:r w:rsidR="003911BD">
        <w:rPr>
          <w:lang w:val="en-GB"/>
        </w:rPr>
        <w:t>2,242,865</w:t>
      </w:r>
    </w:p>
    <w:p w14:paraId="1859EA97" w14:textId="286844B1" w:rsidR="007D5EAB" w:rsidRPr="007969E9" w:rsidRDefault="007D5EAB" w:rsidP="007D5EAB">
      <w:pPr>
        <w:pStyle w:val="a0"/>
        <w:jc w:val="both"/>
        <w:rPr>
          <w:lang w:val="en-GB"/>
        </w:rPr>
      </w:pPr>
      <w:bookmarkStart w:id="1" w:name="_Hlk97656039"/>
      <w:r w:rsidRPr="007969E9">
        <w:rPr>
          <w:b/>
          <w:bCs/>
          <w:lang w:val="en-GB"/>
        </w:rPr>
        <w:t xml:space="preserve">Alignment with </w:t>
      </w:r>
      <w:r w:rsidR="005915FA" w:rsidRPr="007969E9">
        <w:rPr>
          <w:b/>
          <w:bCs/>
          <w:lang w:val="en-GB"/>
        </w:rPr>
        <w:t>United National Development Program (</w:t>
      </w:r>
      <w:r w:rsidRPr="007969E9">
        <w:rPr>
          <w:b/>
          <w:bCs/>
          <w:lang w:val="en-GB"/>
        </w:rPr>
        <w:t>UNDP</w:t>
      </w:r>
      <w:r w:rsidR="005915FA" w:rsidRPr="007969E9">
        <w:rPr>
          <w:b/>
          <w:bCs/>
          <w:lang w:val="en-GB"/>
        </w:rPr>
        <w:t>)</w:t>
      </w:r>
      <w:r w:rsidRPr="007969E9">
        <w:rPr>
          <w:b/>
          <w:bCs/>
          <w:lang w:val="en-GB"/>
        </w:rPr>
        <w:t xml:space="preserve"> country programme strategic outcomes</w:t>
      </w:r>
      <w:r w:rsidRPr="007969E9">
        <w:rPr>
          <w:lang w:val="en-GB"/>
        </w:rPr>
        <w:t xml:space="preserve">: Country program document for the Kyrgyz Republic (2023-2027): </w:t>
      </w:r>
      <w:r w:rsidRPr="007969E9">
        <w:rPr>
          <w:i/>
          <w:iCs/>
          <w:lang w:val="en-GB"/>
        </w:rPr>
        <w:t>COOPERATION FRAMEWORK (OR EQUIVALENT) OUTCOME INVOLVING UNDP 3: By 2027, the Kyrgyz Republic started the transition to low-carbon development and risk</w:t>
      </w:r>
      <w:r w:rsidR="005915FA" w:rsidRPr="007969E9">
        <w:rPr>
          <w:i/>
          <w:iCs/>
          <w:lang w:val="en-GB"/>
        </w:rPr>
        <w:t xml:space="preserve"> </w:t>
      </w:r>
      <w:r w:rsidRPr="007969E9">
        <w:rPr>
          <w:i/>
          <w:iCs/>
          <w:lang w:val="en-GB"/>
        </w:rPr>
        <w:t>informed climate resilience, contributing to people’s fair and equitable access to ecosystem benefits and to empowerment of vulnerable communities in the governance of natural resources and disaster prevention.</w:t>
      </w:r>
      <w:bookmarkEnd w:id="1"/>
    </w:p>
    <w:p w14:paraId="4C8974AD" w14:textId="66B878C3" w:rsidR="007D5EAB" w:rsidRPr="007969E9" w:rsidRDefault="007D5EAB" w:rsidP="007D5EAB">
      <w:pPr>
        <w:pStyle w:val="a0"/>
        <w:rPr>
          <w:lang w:val="en-GB"/>
        </w:rPr>
      </w:pPr>
      <w:r w:rsidRPr="007969E9">
        <w:rPr>
          <w:lang w:val="en-GB"/>
        </w:rPr>
        <w:t>The Biodiversity Finance Initiative (BIOFIN) programme team in the Kyrgyz Republic would like to thank our partners – namely, the Government</w:t>
      </w:r>
      <w:r w:rsidR="00C2521B" w:rsidRPr="007969E9">
        <w:rPr>
          <w:lang w:val="en-GB"/>
        </w:rPr>
        <w:t>s</w:t>
      </w:r>
      <w:r w:rsidRPr="007969E9">
        <w:rPr>
          <w:lang w:val="en-GB"/>
        </w:rPr>
        <w:t xml:space="preserve"> of Germany, </w:t>
      </w:r>
      <w:r w:rsidR="00C2521B" w:rsidRPr="007969E9">
        <w:rPr>
          <w:lang w:val="en-GB"/>
        </w:rPr>
        <w:t xml:space="preserve">Switzerland, United Kingdom and </w:t>
      </w:r>
      <w:r w:rsidRPr="007969E9">
        <w:rPr>
          <w:lang w:val="en-GB"/>
        </w:rPr>
        <w:t>the European Union</w:t>
      </w:r>
      <w:r w:rsidR="005915FA" w:rsidRPr="007969E9">
        <w:rPr>
          <w:lang w:val="en-GB"/>
        </w:rPr>
        <w:t xml:space="preserve"> (EU)</w:t>
      </w:r>
      <w:r w:rsidR="00C2521B" w:rsidRPr="007969E9">
        <w:rPr>
          <w:lang w:val="en-GB"/>
        </w:rPr>
        <w:t xml:space="preserve"> </w:t>
      </w:r>
      <w:r w:rsidRPr="007969E9">
        <w:rPr>
          <w:lang w:val="en-GB"/>
        </w:rPr>
        <w:t>– for their support in making the implementation of BIOFIN in the Kyrgyz Republic possible.</w:t>
      </w:r>
    </w:p>
    <w:p w14:paraId="504DF82C" w14:textId="77777777" w:rsidR="007D5EAB" w:rsidRPr="007969E9" w:rsidRDefault="007D5EAB" w:rsidP="007D5EAB">
      <w:pPr>
        <w:pStyle w:val="a0"/>
        <w:rPr>
          <w:lang w:val="en-GB"/>
        </w:rPr>
      </w:pPr>
      <w:r w:rsidRPr="007969E9">
        <w:rPr>
          <w:lang w:val="en-GB"/>
        </w:rPr>
        <w:t>This report is collaboratively authored by members of the programme team, with support from the BIOFIN global programme management team.</w:t>
      </w:r>
    </w:p>
    <w:p w14:paraId="464606A7" w14:textId="77777777" w:rsidR="009E3F46" w:rsidRPr="007969E9" w:rsidRDefault="009E3F46" w:rsidP="009E3F46">
      <w:pPr>
        <w:pStyle w:val="a0"/>
        <w:pBdr>
          <w:bottom w:val="single" w:sz="4" w:space="1" w:color="auto"/>
        </w:pBdr>
        <w:rPr>
          <w:sz w:val="2"/>
          <w:szCs w:val="2"/>
          <w:lang w:val="en-GB"/>
        </w:rPr>
      </w:pPr>
    </w:p>
    <w:p w14:paraId="47FA0E35" w14:textId="1AE97631" w:rsidR="002370C5" w:rsidRPr="007969E9" w:rsidRDefault="002370C5" w:rsidP="002370C5">
      <w:pPr>
        <w:pStyle w:val="a0"/>
        <w:pBdr>
          <w:bottom w:val="single" w:sz="4" w:space="1" w:color="auto"/>
        </w:pBdr>
        <w:rPr>
          <w:sz w:val="2"/>
          <w:szCs w:val="2"/>
          <w:lang w:val="en-GB"/>
        </w:rPr>
      </w:pPr>
    </w:p>
    <w:p w14:paraId="37723EDA" w14:textId="23A8EA64" w:rsidR="0091787C" w:rsidRPr="007969E9" w:rsidRDefault="0091787C" w:rsidP="002370C5">
      <w:pPr>
        <w:pStyle w:val="a0"/>
        <w:rPr>
          <w:lang w:val="en-GB"/>
        </w:rPr>
        <w:sectPr w:rsidR="0091787C" w:rsidRPr="007969E9" w:rsidSect="002B391B">
          <w:headerReference w:type="default" r:id="rId14"/>
          <w:pgSz w:w="11900" w:h="16840" w:code="9"/>
          <w:pgMar w:top="1134" w:right="1418" w:bottom="1134" w:left="1418" w:header="0" w:footer="0" w:gutter="0"/>
          <w:pgNumType w:fmt="lowerRoman" w:start="1"/>
          <w:cols w:space="708"/>
          <w:titlePg/>
          <w:docGrid w:linePitch="299"/>
        </w:sectPr>
      </w:pPr>
    </w:p>
    <w:p w14:paraId="34E20D95" w14:textId="77777777" w:rsidR="0017293C" w:rsidRPr="007969E9" w:rsidRDefault="0017293C" w:rsidP="001854F8">
      <w:pPr>
        <w:pStyle w:val="a0"/>
      </w:pPr>
      <w:bookmarkStart w:id="2" w:name="_Toc193262861"/>
    </w:p>
    <w:bookmarkStart w:id="3" w:name="_Toc219880821" w:displacedByCustomXml="next"/>
    <w:sdt>
      <w:sdtPr>
        <w:rPr>
          <w:rFonts w:ascii="Helvetica" w:hAnsi="Helvetica" w:cs="ArialMT"/>
          <w:bCs w:val="0"/>
          <w:color w:val="auto"/>
          <w:kern w:val="0"/>
          <w:sz w:val="22"/>
          <w:szCs w:val="22"/>
        </w:rPr>
        <w:id w:val="-1030182458"/>
        <w:docPartObj>
          <w:docPartGallery w:val="Table of Contents"/>
          <w:docPartUnique/>
        </w:docPartObj>
      </w:sdtPr>
      <w:sdtEndPr>
        <w:rPr>
          <w:b/>
          <w:noProof/>
        </w:rPr>
      </w:sdtEndPr>
      <w:sdtContent>
        <w:p w14:paraId="5F2FE58B" w14:textId="7C486DCA" w:rsidR="009721B3" w:rsidRPr="007969E9" w:rsidRDefault="00157C78" w:rsidP="00DE22D5">
          <w:pPr>
            <w:pStyle w:val="1"/>
            <w:numPr>
              <w:ilvl w:val="0"/>
              <w:numId w:val="0"/>
            </w:numPr>
            <w:rPr>
              <w:rStyle w:val="10"/>
              <w:rFonts w:eastAsiaTheme="majorEastAsia"/>
            </w:rPr>
          </w:pPr>
          <w:r w:rsidRPr="007969E9">
            <w:rPr>
              <w:rStyle w:val="10"/>
              <w:rFonts w:eastAsiaTheme="majorEastAsia"/>
            </w:rPr>
            <w:t>Ta</w:t>
          </w:r>
          <w:r w:rsidR="009721B3" w:rsidRPr="007969E9">
            <w:rPr>
              <w:rStyle w:val="10"/>
              <w:rFonts w:eastAsiaTheme="majorEastAsia"/>
            </w:rPr>
            <w:t>ble of Contents</w:t>
          </w:r>
          <w:bookmarkEnd w:id="3"/>
        </w:p>
        <w:p w14:paraId="18A51889" w14:textId="6864F354" w:rsidR="00F06447" w:rsidRDefault="009721B3">
          <w:pPr>
            <w:pStyle w:val="12"/>
            <w:rPr>
              <w:rFonts w:asciiTheme="minorHAnsi" w:eastAsiaTheme="minorEastAsia" w:hAnsiTheme="minorHAnsi" w:cstheme="minorBidi"/>
              <w:b w:val="0"/>
              <w:bCs w:val="0"/>
              <w:kern w:val="2"/>
              <w:sz w:val="24"/>
              <w:szCs w:val="24"/>
              <w:lang w:val="ru-KG" w:eastAsia="ru-KG" w:bidi="ar-SA"/>
              <w14:ligatures w14:val="standardContextual"/>
            </w:rPr>
          </w:pPr>
          <w:r w:rsidRPr="007969E9">
            <w:rPr>
              <w:rFonts w:ascii="Arial" w:hAnsi="Arial" w:cs="Arial"/>
              <w:noProof w:val="0"/>
            </w:rPr>
            <w:fldChar w:fldCharType="begin"/>
          </w:r>
          <w:r w:rsidRPr="007969E9">
            <w:rPr>
              <w:rFonts w:ascii="Arial" w:hAnsi="Arial" w:cs="Arial"/>
            </w:rPr>
            <w:instrText xml:space="preserve"> TOC \o "1-3" \h \z \u </w:instrText>
          </w:r>
          <w:r w:rsidRPr="007969E9">
            <w:rPr>
              <w:rFonts w:ascii="Arial" w:hAnsi="Arial" w:cs="Arial"/>
              <w:noProof w:val="0"/>
            </w:rPr>
            <w:fldChar w:fldCharType="separate"/>
          </w:r>
          <w:hyperlink w:anchor="_Toc219880821" w:history="1">
            <w:r w:rsidR="00F06447" w:rsidRPr="00067B84">
              <w:rPr>
                <w:rStyle w:val="af5"/>
                <w:rFonts w:eastAsiaTheme="majorEastAsia"/>
              </w:rPr>
              <w:t>Table of Contents</w:t>
            </w:r>
            <w:r w:rsidR="00F06447">
              <w:rPr>
                <w:webHidden/>
              </w:rPr>
              <w:tab/>
            </w:r>
            <w:r w:rsidR="00F06447">
              <w:rPr>
                <w:webHidden/>
              </w:rPr>
              <w:fldChar w:fldCharType="begin"/>
            </w:r>
            <w:r w:rsidR="00F06447">
              <w:rPr>
                <w:webHidden/>
              </w:rPr>
              <w:instrText xml:space="preserve"> PAGEREF _Toc219880821 \h </w:instrText>
            </w:r>
            <w:r w:rsidR="00F06447">
              <w:rPr>
                <w:webHidden/>
              </w:rPr>
            </w:r>
            <w:r w:rsidR="00F06447">
              <w:rPr>
                <w:webHidden/>
              </w:rPr>
              <w:fldChar w:fldCharType="separate"/>
            </w:r>
            <w:r w:rsidR="00F06447">
              <w:rPr>
                <w:webHidden/>
              </w:rPr>
              <w:t>1</w:t>
            </w:r>
            <w:r w:rsidR="00F06447">
              <w:rPr>
                <w:webHidden/>
              </w:rPr>
              <w:fldChar w:fldCharType="end"/>
            </w:r>
          </w:hyperlink>
        </w:p>
        <w:p w14:paraId="10AAEEFA" w14:textId="0839F1DC" w:rsidR="00F06447" w:rsidRDefault="00F06447">
          <w:pPr>
            <w:pStyle w:val="12"/>
            <w:rPr>
              <w:rFonts w:asciiTheme="minorHAnsi" w:eastAsiaTheme="minorEastAsia" w:hAnsiTheme="minorHAnsi" w:cstheme="minorBidi"/>
              <w:b w:val="0"/>
              <w:bCs w:val="0"/>
              <w:kern w:val="2"/>
              <w:sz w:val="24"/>
              <w:szCs w:val="24"/>
              <w:lang w:val="ru-KG" w:eastAsia="ru-KG" w:bidi="ar-SA"/>
              <w14:ligatures w14:val="standardContextual"/>
            </w:rPr>
          </w:pPr>
          <w:hyperlink w:anchor="_Toc219880822" w:history="1">
            <w:r w:rsidRPr="00067B84">
              <w:rPr>
                <w:rStyle w:val="af5"/>
              </w:rPr>
              <w:t>Abbreviations and Acronyms</w:t>
            </w:r>
            <w:r>
              <w:rPr>
                <w:webHidden/>
              </w:rPr>
              <w:tab/>
            </w:r>
            <w:r>
              <w:rPr>
                <w:webHidden/>
              </w:rPr>
              <w:fldChar w:fldCharType="begin"/>
            </w:r>
            <w:r>
              <w:rPr>
                <w:webHidden/>
              </w:rPr>
              <w:instrText xml:space="preserve"> PAGEREF _Toc219880822 \h </w:instrText>
            </w:r>
            <w:r>
              <w:rPr>
                <w:webHidden/>
              </w:rPr>
            </w:r>
            <w:r>
              <w:rPr>
                <w:webHidden/>
              </w:rPr>
              <w:fldChar w:fldCharType="separate"/>
            </w:r>
            <w:r>
              <w:rPr>
                <w:webHidden/>
              </w:rPr>
              <w:t>3</w:t>
            </w:r>
            <w:r>
              <w:rPr>
                <w:webHidden/>
              </w:rPr>
              <w:fldChar w:fldCharType="end"/>
            </w:r>
          </w:hyperlink>
        </w:p>
        <w:p w14:paraId="089EB0EF" w14:textId="4E804737" w:rsidR="00F06447" w:rsidRDefault="00F06447">
          <w:pPr>
            <w:pStyle w:val="12"/>
            <w:rPr>
              <w:rFonts w:asciiTheme="minorHAnsi" w:eastAsiaTheme="minorEastAsia" w:hAnsiTheme="minorHAnsi" w:cstheme="minorBidi"/>
              <w:b w:val="0"/>
              <w:bCs w:val="0"/>
              <w:kern w:val="2"/>
              <w:sz w:val="24"/>
              <w:szCs w:val="24"/>
              <w:lang w:val="ru-KG" w:eastAsia="ru-KG" w:bidi="ar-SA"/>
              <w14:ligatures w14:val="standardContextual"/>
            </w:rPr>
          </w:pPr>
          <w:hyperlink w:anchor="_Toc219880823" w:history="1">
            <w:r w:rsidRPr="00067B84">
              <w:rPr>
                <w:rStyle w:val="af5"/>
              </w:rPr>
              <w:t>Executive summary</w:t>
            </w:r>
            <w:r>
              <w:rPr>
                <w:webHidden/>
              </w:rPr>
              <w:tab/>
            </w:r>
            <w:r>
              <w:rPr>
                <w:webHidden/>
              </w:rPr>
              <w:fldChar w:fldCharType="begin"/>
            </w:r>
            <w:r>
              <w:rPr>
                <w:webHidden/>
              </w:rPr>
              <w:instrText xml:space="preserve"> PAGEREF _Toc219880823 \h </w:instrText>
            </w:r>
            <w:r>
              <w:rPr>
                <w:webHidden/>
              </w:rPr>
            </w:r>
            <w:r>
              <w:rPr>
                <w:webHidden/>
              </w:rPr>
              <w:fldChar w:fldCharType="separate"/>
            </w:r>
            <w:r>
              <w:rPr>
                <w:webHidden/>
              </w:rPr>
              <w:t>4</w:t>
            </w:r>
            <w:r>
              <w:rPr>
                <w:webHidden/>
              </w:rPr>
              <w:fldChar w:fldCharType="end"/>
            </w:r>
          </w:hyperlink>
        </w:p>
        <w:p w14:paraId="4AF67892" w14:textId="65D7E7A3" w:rsidR="00F06447" w:rsidRDefault="00F06447">
          <w:pPr>
            <w:pStyle w:val="12"/>
            <w:tabs>
              <w:tab w:val="left" w:pos="660"/>
            </w:tabs>
            <w:rPr>
              <w:rFonts w:asciiTheme="minorHAnsi" w:eastAsiaTheme="minorEastAsia" w:hAnsiTheme="minorHAnsi" w:cstheme="minorBidi"/>
              <w:b w:val="0"/>
              <w:bCs w:val="0"/>
              <w:kern w:val="2"/>
              <w:sz w:val="24"/>
              <w:szCs w:val="24"/>
              <w:lang w:val="ru-KG" w:eastAsia="ru-KG" w:bidi="ar-SA"/>
              <w14:ligatures w14:val="standardContextual"/>
            </w:rPr>
          </w:pPr>
          <w:hyperlink w:anchor="_Toc219880824" w:history="1">
            <w:r w:rsidRPr="00067B84">
              <w:rPr>
                <w:rStyle w:val="af5"/>
              </w:rPr>
              <w:t>A.</w:t>
            </w:r>
            <w:r>
              <w:rPr>
                <w:rFonts w:asciiTheme="minorHAnsi" w:eastAsiaTheme="minorEastAsia" w:hAnsiTheme="minorHAnsi" w:cstheme="minorBidi"/>
                <w:b w:val="0"/>
                <w:bCs w:val="0"/>
                <w:kern w:val="2"/>
                <w:sz w:val="24"/>
                <w:szCs w:val="24"/>
                <w:lang w:val="ru-KG" w:eastAsia="ru-KG" w:bidi="ar-SA"/>
                <w14:ligatures w14:val="standardContextual"/>
              </w:rPr>
              <w:tab/>
            </w:r>
            <w:r w:rsidRPr="00067B84">
              <w:rPr>
                <w:rStyle w:val="af5"/>
              </w:rPr>
              <w:t>Country factsheet: the country’s biodiversity finance profile and the programming approach</w:t>
            </w:r>
            <w:r>
              <w:rPr>
                <w:webHidden/>
              </w:rPr>
              <w:tab/>
            </w:r>
            <w:r>
              <w:rPr>
                <w:webHidden/>
              </w:rPr>
              <w:fldChar w:fldCharType="begin"/>
            </w:r>
            <w:r>
              <w:rPr>
                <w:webHidden/>
              </w:rPr>
              <w:instrText xml:space="preserve"> PAGEREF _Toc219880824 \h </w:instrText>
            </w:r>
            <w:r>
              <w:rPr>
                <w:webHidden/>
              </w:rPr>
            </w:r>
            <w:r>
              <w:rPr>
                <w:webHidden/>
              </w:rPr>
              <w:fldChar w:fldCharType="separate"/>
            </w:r>
            <w:r>
              <w:rPr>
                <w:webHidden/>
              </w:rPr>
              <w:t>11</w:t>
            </w:r>
            <w:r>
              <w:rPr>
                <w:webHidden/>
              </w:rPr>
              <w:fldChar w:fldCharType="end"/>
            </w:r>
          </w:hyperlink>
        </w:p>
        <w:p w14:paraId="6C7C5845" w14:textId="37DC561C" w:rsidR="00F06447" w:rsidRDefault="00F06447">
          <w:pPr>
            <w:pStyle w:val="22"/>
            <w:tabs>
              <w:tab w:val="left" w:pos="880"/>
              <w:tab w:val="right" w:leader="dot" w:pos="9054"/>
            </w:tabs>
            <w:rPr>
              <w:rFonts w:eastAsiaTheme="minorEastAsia" w:cstheme="minorBidi"/>
              <w:b w:val="0"/>
              <w:bCs w:val="0"/>
              <w:noProof/>
              <w:kern w:val="2"/>
              <w:sz w:val="24"/>
              <w:szCs w:val="24"/>
              <w:lang w:val="ru-KG" w:eastAsia="ru-KG" w:bidi="ar-SA"/>
              <w14:ligatures w14:val="standardContextual"/>
            </w:rPr>
          </w:pPr>
          <w:hyperlink w:anchor="_Toc219880825" w:history="1">
            <w:r w:rsidRPr="00067B84">
              <w:rPr>
                <w:rStyle w:val="af5"/>
                <w:noProof/>
              </w:rPr>
              <w:t>A.1.</w:t>
            </w:r>
            <w:r>
              <w:rPr>
                <w:rFonts w:eastAsiaTheme="minorEastAsia" w:cstheme="minorBidi"/>
                <w:b w:val="0"/>
                <w:bCs w:val="0"/>
                <w:noProof/>
                <w:kern w:val="2"/>
                <w:sz w:val="24"/>
                <w:szCs w:val="24"/>
                <w:lang w:val="ru-KG" w:eastAsia="ru-KG" w:bidi="ar-SA"/>
                <w14:ligatures w14:val="standardContextual"/>
              </w:rPr>
              <w:tab/>
            </w:r>
            <w:r w:rsidRPr="00067B84">
              <w:rPr>
                <w:rStyle w:val="af5"/>
                <w:noProof/>
              </w:rPr>
              <w:t>Biodiversity finance profile</w:t>
            </w:r>
            <w:r>
              <w:rPr>
                <w:noProof/>
                <w:webHidden/>
              </w:rPr>
              <w:tab/>
            </w:r>
            <w:r>
              <w:rPr>
                <w:noProof/>
                <w:webHidden/>
              </w:rPr>
              <w:fldChar w:fldCharType="begin"/>
            </w:r>
            <w:r>
              <w:rPr>
                <w:noProof/>
                <w:webHidden/>
              </w:rPr>
              <w:instrText xml:space="preserve"> PAGEREF _Toc219880825 \h </w:instrText>
            </w:r>
            <w:r>
              <w:rPr>
                <w:noProof/>
                <w:webHidden/>
              </w:rPr>
            </w:r>
            <w:r>
              <w:rPr>
                <w:noProof/>
                <w:webHidden/>
              </w:rPr>
              <w:fldChar w:fldCharType="separate"/>
            </w:r>
            <w:r>
              <w:rPr>
                <w:noProof/>
                <w:webHidden/>
              </w:rPr>
              <w:t>11</w:t>
            </w:r>
            <w:r>
              <w:rPr>
                <w:noProof/>
                <w:webHidden/>
              </w:rPr>
              <w:fldChar w:fldCharType="end"/>
            </w:r>
          </w:hyperlink>
        </w:p>
        <w:p w14:paraId="79534A18" w14:textId="26CF65EE" w:rsidR="00F06447" w:rsidRDefault="00F06447">
          <w:pPr>
            <w:pStyle w:val="22"/>
            <w:tabs>
              <w:tab w:val="left" w:pos="880"/>
              <w:tab w:val="right" w:leader="dot" w:pos="9054"/>
            </w:tabs>
            <w:rPr>
              <w:rFonts w:eastAsiaTheme="minorEastAsia" w:cstheme="minorBidi"/>
              <w:b w:val="0"/>
              <w:bCs w:val="0"/>
              <w:noProof/>
              <w:kern w:val="2"/>
              <w:sz w:val="24"/>
              <w:szCs w:val="24"/>
              <w:lang w:val="ru-KG" w:eastAsia="ru-KG" w:bidi="ar-SA"/>
              <w14:ligatures w14:val="standardContextual"/>
            </w:rPr>
          </w:pPr>
          <w:hyperlink w:anchor="_Toc219880826" w:history="1">
            <w:r w:rsidRPr="00067B84">
              <w:rPr>
                <w:rStyle w:val="af5"/>
                <w:noProof/>
              </w:rPr>
              <w:t>A.2.</w:t>
            </w:r>
            <w:r>
              <w:rPr>
                <w:rFonts w:eastAsiaTheme="minorEastAsia" w:cstheme="minorBidi"/>
                <w:b w:val="0"/>
                <w:bCs w:val="0"/>
                <w:noProof/>
                <w:kern w:val="2"/>
                <w:sz w:val="24"/>
                <w:szCs w:val="24"/>
                <w:lang w:val="ru-KG" w:eastAsia="ru-KG" w:bidi="ar-SA"/>
                <w14:ligatures w14:val="standardContextual"/>
              </w:rPr>
              <w:tab/>
            </w:r>
            <w:r w:rsidRPr="00067B84">
              <w:rPr>
                <w:rStyle w:val="af5"/>
                <w:noProof/>
              </w:rPr>
              <w:t>National implementation context</w:t>
            </w:r>
            <w:r>
              <w:rPr>
                <w:noProof/>
                <w:webHidden/>
              </w:rPr>
              <w:tab/>
            </w:r>
            <w:r>
              <w:rPr>
                <w:noProof/>
                <w:webHidden/>
              </w:rPr>
              <w:fldChar w:fldCharType="begin"/>
            </w:r>
            <w:r>
              <w:rPr>
                <w:noProof/>
                <w:webHidden/>
              </w:rPr>
              <w:instrText xml:space="preserve"> PAGEREF _Toc219880826 \h </w:instrText>
            </w:r>
            <w:r>
              <w:rPr>
                <w:noProof/>
                <w:webHidden/>
              </w:rPr>
            </w:r>
            <w:r>
              <w:rPr>
                <w:noProof/>
                <w:webHidden/>
              </w:rPr>
              <w:fldChar w:fldCharType="separate"/>
            </w:r>
            <w:r>
              <w:rPr>
                <w:noProof/>
                <w:webHidden/>
              </w:rPr>
              <w:t>13</w:t>
            </w:r>
            <w:r>
              <w:rPr>
                <w:noProof/>
                <w:webHidden/>
              </w:rPr>
              <w:fldChar w:fldCharType="end"/>
            </w:r>
          </w:hyperlink>
        </w:p>
        <w:p w14:paraId="0B4E84D1" w14:textId="200284CB" w:rsidR="00F06447" w:rsidRDefault="00F06447">
          <w:pPr>
            <w:pStyle w:val="12"/>
            <w:tabs>
              <w:tab w:val="left" w:pos="660"/>
            </w:tabs>
            <w:rPr>
              <w:rFonts w:asciiTheme="minorHAnsi" w:eastAsiaTheme="minorEastAsia" w:hAnsiTheme="minorHAnsi" w:cstheme="minorBidi"/>
              <w:b w:val="0"/>
              <w:bCs w:val="0"/>
              <w:kern w:val="2"/>
              <w:sz w:val="24"/>
              <w:szCs w:val="24"/>
              <w:lang w:val="ru-KG" w:eastAsia="ru-KG" w:bidi="ar-SA"/>
              <w14:ligatures w14:val="standardContextual"/>
            </w:rPr>
          </w:pPr>
          <w:hyperlink w:anchor="_Toc219880827" w:history="1">
            <w:r w:rsidRPr="00067B84">
              <w:rPr>
                <w:rStyle w:val="af5"/>
              </w:rPr>
              <w:t>B.</w:t>
            </w:r>
            <w:r>
              <w:rPr>
                <w:rFonts w:asciiTheme="minorHAnsi" w:eastAsiaTheme="minorEastAsia" w:hAnsiTheme="minorHAnsi" w:cstheme="minorBidi"/>
                <w:b w:val="0"/>
                <w:bCs w:val="0"/>
                <w:kern w:val="2"/>
                <w:sz w:val="24"/>
                <w:szCs w:val="24"/>
                <w:lang w:val="ru-KG" w:eastAsia="ru-KG" w:bidi="ar-SA"/>
                <w14:ligatures w14:val="standardContextual"/>
              </w:rPr>
              <w:tab/>
            </w:r>
            <w:r w:rsidRPr="00067B84">
              <w:rPr>
                <w:rStyle w:val="af5"/>
              </w:rPr>
              <w:t>Overview of key results</w:t>
            </w:r>
            <w:r>
              <w:rPr>
                <w:webHidden/>
              </w:rPr>
              <w:tab/>
            </w:r>
            <w:r>
              <w:rPr>
                <w:webHidden/>
              </w:rPr>
              <w:fldChar w:fldCharType="begin"/>
            </w:r>
            <w:r>
              <w:rPr>
                <w:webHidden/>
              </w:rPr>
              <w:instrText xml:space="preserve"> PAGEREF _Toc219880827 \h </w:instrText>
            </w:r>
            <w:r>
              <w:rPr>
                <w:webHidden/>
              </w:rPr>
            </w:r>
            <w:r>
              <w:rPr>
                <w:webHidden/>
              </w:rPr>
              <w:fldChar w:fldCharType="separate"/>
            </w:r>
            <w:r>
              <w:rPr>
                <w:webHidden/>
              </w:rPr>
              <w:t>14</w:t>
            </w:r>
            <w:r>
              <w:rPr>
                <w:webHidden/>
              </w:rPr>
              <w:fldChar w:fldCharType="end"/>
            </w:r>
          </w:hyperlink>
        </w:p>
        <w:p w14:paraId="5E49F069" w14:textId="5E229133" w:rsidR="00F06447" w:rsidRDefault="00F06447">
          <w:pPr>
            <w:pStyle w:val="22"/>
            <w:tabs>
              <w:tab w:val="left" w:pos="880"/>
              <w:tab w:val="right" w:leader="dot" w:pos="9054"/>
            </w:tabs>
            <w:rPr>
              <w:rFonts w:eastAsiaTheme="minorEastAsia" w:cstheme="minorBidi"/>
              <w:b w:val="0"/>
              <w:bCs w:val="0"/>
              <w:noProof/>
              <w:kern w:val="2"/>
              <w:sz w:val="24"/>
              <w:szCs w:val="24"/>
              <w:lang w:val="ru-KG" w:eastAsia="ru-KG" w:bidi="ar-SA"/>
              <w14:ligatures w14:val="standardContextual"/>
            </w:rPr>
          </w:pPr>
          <w:hyperlink w:anchor="_Toc219880828" w:history="1">
            <w:r w:rsidRPr="00067B84">
              <w:rPr>
                <w:rStyle w:val="af5"/>
                <w:noProof/>
              </w:rPr>
              <w:t>B.1.</w:t>
            </w:r>
            <w:r>
              <w:rPr>
                <w:rFonts w:eastAsiaTheme="minorEastAsia" w:cstheme="minorBidi"/>
                <w:b w:val="0"/>
                <w:bCs w:val="0"/>
                <w:noProof/>
                <w:kern w:val="2"/>
                <w:sz w:val="24"/>
                <w:szCs w:val="24"/>
                <w:lang w:val="ru-KG" w:eastAsia="ru-KG" w:bidi="ar-SA"/>
                <w14:ligatures w14:val="standardContextual"/>
              </w:rPr>
              <w:tab/>
            </w:r>
            <w:r w:rsidRPr="00067B84">
              <w:rPr>
                <w:rStyle w:val="af5"/>
                <w:noProof/>
              </w:rPr>
              <w:t>FS 1 «Establishment of the Biodiversity Conservation Trust Fund»</w:t>
            </w:r>
            <w:r>
              <w:rPr>
                <w:noProof/>
                <w:webHidden/>
              </w:rPr>
              <w:tab/>
            </w:r>
            <w:r>
              <w:rPr>
                <w:noProof/>
                <w:webHidden/>
              </w:rPr>
              <w:fldChar w:fldCharType="begin"/>
            </w:r>
            <w:r>
              <w:rPr>
                <w:noProof/>
                <w:webHidden/>
              </w:rPr>
              <w:instrText xml:space="preserve"> PAGEREF _Toc219880828 \h </w:instrText>
            </w:r>
            <w:r>
              <w:rPr>
                <w:noProof/>
                <w:webHidden/>
              </w:rPr>
            </w:r>
            <w:r>
              <w:rPr>
                <w:noProof/>
                <w:webHidden/>
              </w:rPr>
              <w:fldChar w:fldCharType="separate"/>
            </w:r>
            <w:r>
              <w:rPr>
                <w:noProof/>
                <w:webHidden/>
              </w:rPr>
              <w:t>14</w:t>
            </w:r>
            <w:r>
              <w:rPr>
                <w:noProof/>
                <w:webHidden/>
              </w:rPr>
              <w:fldChar w:fldCharType="end"/>
            </w:r>
          </w:hyperlink>
        </w:p>
        <w:p w14:paraId="5598C59C" w14:textId="1B37B264" w:rsidR="00F06447" w:rsidRDefault="00F06447">
          <w:pPr>
            <w:pStyle w:val="31"/>
            <w:tabs>
              <w:tab w:val="left" w:pos="1320"/>
              <w:tab w:val="right" w:leader="dot" w:pos="9054"/>
            </w:tabs>
            <w:rPr>
              <w:rFonts w:eastAsiaTheme="minorEastAsia" w:cstheme="minorBidi"/>
              <w:noProof/>
              <w:kern w:val="2"/>
              <w:sz w:val="24"/>
              <w:szCs w:val="24"/>
              <w:lang w:val="ru-KG" w:eastAsia="ru-KG" w:bidi="ar-SA"/>
              <w14:ligatures w14:val="standardContextual"/>
            </w:rPr>
          </w:pPr>
          <w:hyperlink w:anchor="_Toc219880829" w:history="1">
            <w:r w:rsidRPr="00067B84">
              <w:rPr>
                <w:rStyle w:val="af5"/>
                <w:noProof/>
              </w:rPr>
              <w:t>B.1.1.</w:t>
            </w:r>
            <w:r>
              <w:rPr>
                <w:rFonts w:eastAsiaTheme="minorEastAsia" w:cstheme="minorBidi"/>
                <w:noProof/>
                <w:kern w:val="2"/>
                <w:sz w:val="24"/>
                <w:szCs w:val="24"/>
                <w:lang w:val="ru-KG" w:eastAsia="ru-KG" w:bidi="ar-SA"/>
                <w14:ligatures w14:val="standardContextual"/>
              </w:rPr>
              <w:tab/>
            </w:r>
            <w:r w:rsidRPr="00067B84">
              <w:rPr>
                <w:rStyle w:val="af5"/>
                <w:noProof/>
              </w:rPr>
              <w:t>Activities and results related to output areas</w:t>
            </w:r>
            <w:r>
              <w:rPr>
                <w:noProof/>
                <w:webHidden/>
              </w:rPr>
              <w:tab/>
            </w:r>
            <w:r>
              <w:rPr>
                <w:noProof/>
                <w:webHidden/>
              </w:rPr>
              <w:fldChar w:fldCharType="begin"/>
            </w:r>
            <w:r>
              <w:rPr>
                <w:noProof/>
                <w:webHidden/>
              </w:rPr>
              <w:instrText xml:space="preserve"> PAGEREF _Toc219880829 \h </w:instrText>
            </w:r>
            <w:r>
              <w:rPr>
                <w:noProof/>
                <w:webHidden/>
              </w:rPr>
            </w:r>
            <w:r>
              <w:rPr>
                <w:noProof/>
                <w:webHidden/>
              </w:rPr>
              <w:fldChar w:fldCharType="separate"/>
            </w:r>
            <w:r>
              <w:rPr>
                <w:noProof/>
                <w:webHidden/>
              </w:rPr>
              <w:t>15</w:t>
            </w:r>
            <w:r>
              <w:rPr>
                <w:noProof/>
                <w:webHidden/>
              </w:rPr>
              <w:fldChar w:fldCharType="end"/>
            </w:r>
          </w:hyperlink>
        </w:p>
        <w:p w14:paraId="60E1C6DD" w14:textId="5B700479" w:rsidR="00F06447" w:rsidRDefault="00F06447">
          <w:pPr>
            <w:pStyle w:val="22"/>
            <w:tabs>
              <w:tab w:val="left" w:pos="880"/>
              <w:tab w:val="right" w:leader="dot" w:pos="9054"/>
            </w:tabs>
            <w:rPr>
              <w:rFonts w:eastAsiaTheme="minorEastAsia" w:cstheme="minorBidi"/>
              <w:b w:val="0"/>
              <w:bCs w:val="0"/>
              <w:noProof/>
              <w:kern w:val="2"/>
              <w:sz w:val="24"/>
              <w:szCs w:val="24"/>
              <w:lang w:val="ru-KG" w:eastAsia="ru-KG" w:bidi="ar-SA"/>
              <w14:ligatures w14:val="standardContextual"/>
            </w:rPr>
          </w:pPr>
          <w:hyperlink w:anchor="_Toc219880830" w:history="1">
            <w:r w:rsidRPr="00067B84">
              <w:rPr>
                <w:rStyle w:val="af5"/>
                <w:rFonts w:ascii="Arial" w:hAnsi="Arial" w:cs="Arial"/>
                <w:noProof/>
              </w:rPr>
              <w:t>B.2.</w:t>
            </w:r>
            <w:r>
              <w:rPr>
                <w:rFonts w:eastAsiaTheme="minorEastAsia" w:cstheme="minorBidi"/>
                <w:b w:val="0"/>
                <w:bCs w:val="0"/>
                <w:noProof/>
                <w:kern w:val="2"/>
                <w:sz w:val="24"/>
                <w:szCs w:val="24"/>
                <w:lang w:val="ru-KG" w:eastAsia="ru-KG" w:bidi="ar-SA"/>
                <w14:ligatures w14:val="standardContextual"/>
              </w:rPr>
              <w:tab/>
            </w:r>
            <w:r w:rsidRPr="00067B84">
              <w:rPr>
                <w:rStyle w:val="af5"/>
                <w:rFonts w:ascii="Arial" w:hAnsi="Arial" w:cs="Arial"/>
                <w:noProof/>
              </w:rPr>
              <w:t>FS 2 « Reforming harmful agricultural subsidies to remove barriers to green/organic agriculture», FS 9 “Introduction of monitoring and evaluation practices for subsidy effectiveness in Kyrgyzstan with a focus on potentially harmful to biodiversity subsidies”</w:t>
            </w:r>
            <w:r>
              <w:rPr>
                <w:noProof/>
                <w:webHidden/>
              </w:rPr>
              <w:tab/>
            </w:r>
            <w:r>
              <w:rPr>
                <w:noProof/>
                <w:webHidden/>
              </w:rPr>
              <w:fldChar w:fldCharType="begin"/>
            </w:r>
            <w:r>
              <w:rPr>
                <w:noProof/>
                <w:webHidden/>
              </w:rPr>
              <w:instrText xml:space="preserve"> PAGEREF _Toc219880830 \h </w:instrText>
            </w:r>
            <w:r>
              <w:rPr>
                <w:noProof/>
                <w:webHidden/>
              </w:rPr>
            </w:r>
            <w:r>
              <w:rPr>
                <w:noProof/>
                <w:webHidden/>
              </w:rPr>
              <w:fldChar w:fldCharType="separate"/>
            </w:r>
            <w:r>
              <w:rPr>
                <w:noProof/>
                <w:webHidden/>
              </w:rPr>
              <w:t>16</w:t>
            </w:r>
            <w:r>
              <w:rPr>
                <w:noProof/>
                <w:webHidden/>
              </w:rPr>
              <w:fldChar w:fldCharType="end"/>
            </w:r>
          </w:hyperlink>
        </w:p>
        <w:p w14:paraId="5096FA47" w14:textId="09536E40" w:rsidR="00F06447" w:rsidRDefault="00F06447">
          <w:pPr>
            <w:pStyle w:val="31"/>
            <w:tabs>
              <w:tab w:val="left" w:pos="1320"/>
              <w:tab w:val="right" w:leader="dot" w:pos="9054"/>
            </w:tabs>
            <w:rPr>
              <w:rFonts w:eastAsiaTheme="minorEastAsia" w:cstheme="minorBidi"/>
              <w:noProof/>
              <w:kern w:val="2"/>
              <w:sz w:val="24"/>
              <w:szCs w:val="24"/>
              <w:lang w:val="ru-KG" w:eastAsia="ru-KG" w:bidi="ar-SA"/>
              <w14:ligatures w14:val="standardContextual"/>
            </w:rPr>
          </w:pPr>
          <w:hyperlink w:anchor="_Toc219880835" w:history="1">
            <w:r w:rsidRPr="00067B84">
              <w:rPr>
                <w:rStyle w:val="af5"/>
                <w:rFonts w:ascii="Arial" w:hAnsi="Arial" w:cs="Arial"/>
                <w:bCs/>
                <w:noProof/>
              </w:rPr>
              <w:t>B.2.1.</w:t>
            </w:r>
            <w:r>
              <w:rPr>
                <w:rFonts w:eastAsiaTheme="minorEastAsia" w:cstheme="minorBidi"/>
                <w:noProof/>
                <w:kern w:val="2"/>
                <w:sz w:val="24"/>
                <w:szCs w:val="24"/>
                <w:lang w:val="ru-KG" w:eastAsia="ru-KG" w:bidi="ar-SA"/>
                <w14:ligatures w14:val="standardContextual"/>
              </w:rPr>
              <w:tab/>
            </w:r>
            <w:r w:rsidRPr="00067B84">
              <w:rPr>
                <w:rStyle w:val="af5"/>
                <w:rFonts w:ascii="Arial" w:hAnsi="Arial" w:cs="Arial"/>
                <w:bCs/>
                <w:noProof/>
              </w:rPr>
              <w:t>Activities and results related to output areas</w:t>
            </w:r>
            <w:r>
              <w:rPr>
                <w:noProof/>
                <w:webHidden/>
              </w:rPr>
              <w:tab/>
            </w:r>
            <w:r>
              <w:rPr>
                <w:noProof/>
                <w:webHidden/>
              </w:rPr>
              <w:fldChar w:fldCharType="begin"/>
            </w:r>
            <w:r>
              <w:rPr>
                <w:noProof/>
                <w:webHidden/>
              </w:rPr>
              <w:instrText xml:space="preserve"> PAGEREF _Toc219880835 \h </w:instrText>
            </w:r>
            <w:r>
              <w:rPr>
                <w:noProof/>
                <w:webHidden/>
              </w:rPr>
            </w:r>
            <w:r>
              <w:rPr>
                <w:noProof/>
                <w:webHidden/>
              </w:rPr>
              <w:fldChar w:fldCharType="separate"/>
            </w:r>
            <w:r>
              <w:rPr>
                <w:noProof/>
                <w:webHidden/>
              </w:rPr>
              <w:t>17</w:t>
            </w:r>
            <w:r>
              <w:rPr>
                <w:noProof/>
                <w:webHidden/>
              </w:rPr>
              <w:fldChar w:fldCharType="end"/>
            </w:r>
          </w:hyperlink>
        </w:p>
        <w:p w14:paraId="4B0C6882" w14:textId="3D5F77F8" w:rsidR="00F06447" w:rsidRDefault="00F06447">
          <w:pPr>
            <w:pStyle w:val="22"/>
            <w:tabs>
              <w:tab w:val="left" w:pos="880"/>
              <w:tab w:val="right" w:leader="dot" w:pos="9054"/>
            </w:tabs>
            <w:rPr>
              <w:rFonts w:eastAsiaTheme="minorEastAsia" w:cstheme="minorBidi"/>
              <w:b w:val="0"/>
              <w:bCs w:val="0"/>
              <w:noProof/>
              <w:kern w:val="2"/>
              <w:sz w:val="24"/>
              <w:szCs w:val="24"/>
              <w:lang w:val="ru-KG" w:eastAsia="ru-KG" w:bidi="ar-SA"/>
              <w14:ligatures w14:val="standardContextual"/>
            </w:rPr>
          </w:pPr>
          <w:hyperlink w:anchor="_Toc219880836" w:history="1">
            <w:r w:rsidRPr="00067B84">
              <w:rPr>
                <w:rStyle w:val="af5"/>
                <w:rFonts w:ascii="Arial" w:hAnsi="Arial" w:cs="Arial"/>
                <w:noProof/>
              </w:rPr>
              <w:t>B.3.</w:t>
            </w:r>
            <w:r>
              <w:rPr>
                <w:rFonts w:eastAsiaTheme="minorEastAsia" w:cstheme="minorBidi"/>
                <w:b w:val="0"/>
                <w:bCs w:val="0"/>
                <w:noProof/>
                <w:kern w:val="2"/>
                <w:sz w:val="24"/>
                <w:szCs w:val="24"/>
                <w:lang w:val="ru-KG" w:eastAsia="ru-KG" w:bidi="ar-SA"/>
                <w14:ligatures w14:val="standardContextual"/>
              </w:rPr>
              <w:tab/>
            </w:r>
            <w:r w:rsidRPr="00067B84">
              <w:rPr>
                <w:rStyle w:val="af5"/>
                <w:rFonts w:ascii="Arial" w:hAnsi="Arial" w:cs="Arial"/>
                <w:noProof/>
              </w:rPr>
              <w:t>FS 3 « Improving the procedures of budget formulation and execution of protected areas and forestry enterprises», FS 4 “Scaling up the adoption of performance programme-based budgeting in Protected Areas” and FS 5 “Scaling up of the Financial Solutions No. 3 and 4”</w:t>
            </w:r>
            <w:r>
              <w:rPr>
                <w:noProof/>
                <w:webHidden/>
              </w:rPr>
              <w:tab/>
            </w:r>
            <w:r>
              <w:rPr>
                <w:noProof/>
                <w:webHidden/>
              </w:rPr>
              <w:fldChar w:fldCharType="begin"/>
            </w:r>
            <w:r>
              <w:rPr>
                <w:noProof/>
                <w:webHidden/>
              </w:rPr>
              <w:instrText xml:space="preserve"> PAGEREF _Toc219880836 \h </w:instrText>
            </w:r>
            <w:r>
              <w:rPr>
                <w:noProof/>
                <w:webHidden/>
              </w:rPr>
            </w:r>
            <w:r>
              <w:rPr>
                <w:noProof/>
                <w:webHidden/>
              </w:rPr>
              <w:fldChar w:fldCharType="separate"/>
            </w:r>
            <w:r>
              <w:rPr>
                <w:noProof/>
                <w:webHidden/>
              </w:rPr>
              <w:t>19</w:t>
            </w:r>
            <w:r>
              <w:rPr>
                <w:noProof/>
                <w:webHidden/>
              </w:rPr>
              <w:fldChar w:fldCharType="end"/>
            </w:r>
          </w:hyperlink>
        </w:p>
        <w:p w14:paraId="36122097" w14:textId="5A2A84B0" w:rsidR="00F06447" w:rsidRDefault="00F06447">
          <w:pPr>
            <w:pStyle w:val="31"/>
            <w:tabs>
              <w:tab w:val="left" w:pos="1320"/>
              <w:tab w:val="right" w:leader="dot" w:pos="9054"/>
            </w:tabs>
            <w:rPr>
              <w:rFonts w:eastAsiaTheme="minorEastAsia" w:cstheme="minorBidi"/>
              <w:noProof/>
              <w:kern w:val="2"/>
              <w:sz w:val="24"/>
              <w:szCs w:val="24"/>
              <w:lang w:val="ru-KG" w:eastAsia="ru-KG" w:bidi="ar-SA"/>
              <w14:ligatures w14:val="standardContextual"/>
            </w:rPr>
          </w:pPr>
          <w:hyperlink w:anchor="_Toc219880838" w:history="1">
            <w:r w:rsidRPr="00067B84">
              <w:rPr>
                <w:rStyle w:val="af5"/>
                <w:rFonts w:ascii="Arial" w:hAnsi="Arial" w:cs="Arial"/>
                <w:bCs/>
                <w:noProof/>
              </w:rPr>
              <w:t>B.3.1.</w:t>
            </w:r>
            <w:r>
              <w:rPr>
                <w:rFonts w:eastAsiaTheme="minorEastAsia" w:cstheme="minorBidi"/>
                <w:noProof/>
                <w:kern w:val="2"/>
                <w:sz w:val="24"/>
                <w:szCs w:val="24"/>
                <w:lang w:val="ru-KG" w:eastAsia="ru-KG" w:bidi="ar-SA"/>
                <w14:ligatures w14:val="standardContextual"/>
              </w:rPr>
              <w:tab/>
            </w:r>
            <w:r w:rsidRPr="00067B84">
              <w:rPr>
                <w:rStyle w:val="af5"/>
                <w:rFonts w:ascii="Arial" w:hAnsi="Arial" w:cs="Arial"/>
                <w:bCs/>
                <w:noProof/>
              </w:rPr>
              <w:t>Activities and results related to output areas</w:t>
            </w:r>
            <w:r>
              <w:rPr>
                <w:noProof/>
                <w:webHidden/>
              </w:rPr>
              <w:tab/>
            </w:r>
            <w:r>
              <w:rPr>
                <w:noProof/>
                <w:webHidden/>
              </w:rPr>
              <w:fldChar w:fldCharType="begin"/>
            </w:r>
            <w:r>
              <w:rPr>
                <w:noProof/>
                <w:webHidden/>
              </w:rPr>
              <w:instrText xml:space="preserve"> PAGEREF _Toc219880838 \h </w:instrText>
            </w:r>
            <w:r>
              <w:rPr>
                <w:noProof/>
                <w:webHidden/>
              </w:rPr>
            </w:r>
            <w:r>
              <w:rPr>
                <w:noProof/>
                <w:webHidden/>
              </w:rPr>
              <w:fldChar w:fldCharType="separate"/>
            </w:r>
            <w:r>
              <w:rPr>
                <w:noProof/>
                <w:webHidden/>
              </w:rPr>
              <w:t>20</w:t>
            </w:r>
            <w:r>
              <w:rPr>
                <w:noProof/>
                <w:webHidden/>
              </w:rPr>
              <w:fldChar w:fldCharType="end"/>
            </w:r>
          </w:hyperlink>
        </w:p>
        <w:p w14:paraId="707900C4" w14:textId="780BE210" w:rsidR="00F06447" w:rsidRDefault="00F06447">
          <w:pPr>
            <w:pStyle w:val="22"/>
            <w:tabs>
              <w:tab w:val="left" w:pos="880"/>
              <w:tab w:val="right" w:leader="dot" w:pos="9054"/>
            </w:tabs>
            <w:rPr>
              <w:rFonts w:eastAsiaTheme="minorEastAsia" w:cstheme="minorBidi"/>
              <w:b w:val="0"/>
              <w:bCs w:val="0"/>
              <w:noProof/>
              <w:kern w:val="2"/>
              <w:sz w:val="24"/>
              <w:szCs w:val="24"/>
              <w:lang w:val="ru-KG" w:eastAsia="ru-KG" w:bidi="ar-SA"/>
              <w14:ligatures w14:val="standardContextual"/>
            </w:rPr>
          </w:pPr>
          <w:hyperlink w:anchor="_Toc219880839" w:history="1">
            <w:r w:rsidRPr="00067B84">
              <w:rPr>
                <w:rStyle w:val="af5"/>
                <w:rFonts w:ascii="Arial" w:hAnsi="Arial" w:cs="Arial"/>
                <w:noProof/>
              </w:rPr>
              <w:t>B.4.</w:t>
            </w:r>
            <w:r>
              <w:rPr>
                <w:rFonts w:eastAsiaTheme="minorEastAsia" w:cstheme="minorBidi"/>
                <w:b w:val="0"/>
                <w:bCs w:val="0"/>
                <w:noProof/>
                <w:kern w:val="2"/>
                <w:sz w:val="24"/>
                <w:szCs w:val="24"/>
                <w:lang w:val="ru-KG" w:eastAsia="ru-KG" w:bidi="ar-SA"/>
                <w14:ligatures w14:val="standardContextual"/>
              </w:rPr>
              <w:tab/>
            </w:r>
            <w:r w:rsidRPr="00067B84">
              <w:rPr>
                <w:rStyle w:val="af5"/>
                <w:rFonts w:ascii="Arial" w:hAnsi="Arial" w:cs="Arial"/>
                <w:noProof/>
              </w:rPr>
              <w:t>FS 6 «Debt-for-Nature Swap in the Kyrgyz Republic»</w:t>
            </w:r>
            <w:r>
              <w:rPr>
                <w:noProof/>
                <w:webHidden/>
              </w:rPr>
              <w:tab/>
            </w:r>
            <w:r>
              <w:rPr>
                <w:noProof/>
                <w:webHidden/>
              </w:rPr>
              <w:fldChar w:fldCharType="begin"/>
            </w:r>
            <w:r>
              <w:rPr>
                <w:noProof/>
                <w:webHidden/>
              </w:rPr>
              <w:instrText xml:space="preserve"> PAGEREF _Toc219880839 \h </w:instrText>
            </w:r>
            <w:r>
              <w:rPr>
                <w:noProof/>
                <w:webHidden/>
              </w:rPr>
            </w:r>
            <w:r>
              <w:rPr>
                <w:noProof/>
                <w:webHidden/>
              </w:rPr>
              <w:fldChar w:fldCharType="separate"/>
            </w:r>
            <w:r>
              <w:rPr>
                <w:noProof/>
                <w:webHidden/>
              </w:rPr>
              <w:t>21</w:t>
            </w:r>
            <w:r>
              <w:rPr>
                <w:noProof/>
                <w:webHidden/>
              </w:rPr>
              <w:fldChar w:fldCharType="end"/>
            </w:r>
          </w:hyperlink>
        </w:p>
        <w:p w14:paraId="6D1F5D15" w14:textId="5BECC2BC" w:rsidR="00F06447" w:rsidRDefault="00F06447">
          <w:pPr>
            <w:pStyle w:val="31"/>
            <w:tabs>
              <w:tab w:val="left" w:pos="1320"/>
              <w:tab w:val="right" w:leader="dot" w:pos="9054"/>
            </w:tabs>
            <w:rPr>
              <w:rFonts w:eastAsiaTheme="minorEastAsia" w:cstheme="minorBidi"/>
              <w:noProof/>
              <w:kern w:val="2"/>
              <w:sz w:val="24"/>
              <w:szCs w:val="24"/>
              <w:lang w:val="ru-KG" w:eastAsia="ru-KG" w:bidi="ar-SA"/>
              <w14:ligatures w14:val="standardContextual"/>
            </w:rPr>
          </w:pPr>
          <w:hyperlink w:anchor="_Toc219880841" w:history="1">
            <w:r w:rsidRPr="00067B84">
              <w:rPr>
                <w:rStyle w:val="af5"/>
                <w:rFonts w:ascii="Arial" w:hAnsi="Arial" w:cs="Arial"/>
                <w:bCs/>
                <w:noProof/>
              </w:rPr>
              <w:t>B.4.1.</w:t>
            </w:r>
            <w:r>
              <w:rPr>
                <w:rFonts w:eastAsiaTheme="minorEastAsia" w:cstheme="minorBidi"/>
                <w:noProof/>
                <w:kern w:val="2"/>
                <w:sz w:val="24"/>
                <w:szCs w:val="24"/>
                <w:lang w:val="ru-KG" w:eastAsia="ru-KG" w:bidi="ar-SA"/>
                <w14:ligatures w14:val="standardContextual"/>
              </w:rPr>
              <w:tab/>
            </w:r>
            <w:r w:rsidRPr="00067B84">
              <w:rPr>
                <w:rStyle w:val="af5"/>
                <w:rFonts w:ascii="Arial" w:hAnsi="Arial" w:cs="Arial"/>
                <w:bCs/>
                <w:noProof/>
              </w:rPr>
              <w:t>Activities and results related to output areas</w:t>
            </w:r>
            <w:r>
              <w:rPr>
                <w:noProof/>
                <w:webHidden/>
              </w:rPr>
              <w:tab/>
            </w:r>
            <w:r>
              <w:rPr>
                <w:noProof/>
                <w:webHidden/>
              </w:rPr>
              <w:fldChar w:fldCharType="begin"/>
            </w:r>
            <w:r>
              <w:rPr>
                <w:noProof/>
                <w:webHidden/>
              </w:rPr>
              <w:instrText xml:space="preserve"> PAGEREF _Toc219880841 \h </w:instrText>
            </w:r>
            <w:r>
              <w:rPr>
                <w:noProof/>
                <w:webHidden/>
              </w:rPr>
            </w:r>
            <w:r>
              <w:rPr>
                <w:noProof/>
                <w:webHidden/>
              </w:rPr>
              <w:fldChar w:fldCharType="separate"/>
            </w:r>
            <w:r>
              <w:rPr>
                <w:noProof/>
                <w:webHidden/>
              </w:rPr>
              <w:t>21</w:t>
            </w:r>
            <w:r>
              <w:rPr>
                <w:noProof/>
                <w:webHidden/>
              </w:rPr>
              <w:fldChar w:fldCharType="end"/>
            </w:r>
          </w:hyperlink>
        </w:p>
        <w:p w14:paraId="6742CE76" w14:textId="4A232089" w:rsidR="00F06447" w:rsidRDefault="00F06447">
          <w:pPr>
            <w:pStyle w:val="22"/>
            <w:tabs>
              <w:tab w:val="left" w:pos="880"/>
              <w:tab w:val="right" w:leader="dot" w:pos="9054"/>
            </w:tabs>
            <w:rPr>
              <w:rFonts w:eastAsiaTheme="minorEastAsia" w:cstheme="minorBidi"/>
              <w:b w:val="0"/>
              <w:bCs w:val="0"/>
              <w:noProof/>
              <w:kern w:val="2"/>
              <w:sz w:val="24"/>
              <w:szCs w:val="24"/>
              <w:lang w:val="ru-KG" w:eastAsia="ru-KG" w:bidi="ar-SA"/>
              <w14:ligatures w14:val="standardContextual"/>
            </w:rPr>
          </w:pPr>
          <w:hyperlink w:anchor="_Toc219880842" w:history="1">
            <w:r w:rsidRPr="00067B84">
              <w:rPr>
                <w:rStyle w:val="af5"/>
                <w:rFonts w:ascii="Arial" w:hAnsi="Arial" w:cs="Arial"/>
                <w:noProof/>
              </w:rPr>
              <w:t>B.5.</w:t>
            </w:r>
            <w:r>
              <w:rPr>
                <w:rFonts w:eastAsiaTheme="minorEastAsia" w:cstheme="minorBidi"/>
                <w:b w:val="0"/>
                <w:bCs w:val="0"/>
                <w:noProof/>
                <w:kern w:val="2"/>
                <w:sz w:val="24"/>
                <w:szCs w:val="24"/>
                <w:lang w:val="ru-KG" w:eastAsia="ru-KG" w:bidi="ar-SA"/>
                <w14:ligatures w14:val="standardContextual"/>
              </w:rPr>
              <w:tab/>
            </w:r>
            <w:r w:rsidRPr="00067B84">
              <w:rPr>
                <w:rStyle w:val="af5"/>
                <w:rFonts w:ascii="Arial" w:hAnsi="Arial" w:cs="Arial"/>
                <w:noProof/>
              </w:rPr>
              <w:t>FS 7 “Introduction of an effective system of financial self-sufficiency in protected areas (PAs)</w:t>
            </w:r>
            <w:r>
              <w:rPr>
                <w:noProof/>
                <w:webHidden/>
              </w:rPr>
              <w:tab/>
            </w:r>
            <w:r>
              <w:rPr>
                <w:noProof/>
                <w:webHidden/>
              </w:rPr>
              <w:fldChar w:fldCharType="begin"/>
            </w:r>
            <w:r>
              <w:rPr>
                <w:noProof/>
                <w:webHidden/>
              </w:rPr>
              <w:instrText xml:space="preserve"> PAGEREF _Toc219880842 \h </w:instrText>
            </w:r>
            <w:r>
              <w:rPr>
                <w:noProof/>
                <w:webHidden/>
              </w:rPr>
            </w:r>
            <w:r>
              <w:rPr>
                <w:noProof/>
                <w:webHidden/>
              </w:rPr>
              <w:fldChar w:fldCharType="separate"/>
            </w:r>
            <w:r>
              <w:rPr>
                <w:noProof/>
                <w:webHidden/>
              </w:rPr>
              <w:t>22</w:t>
            </w:r>
            <w:r>
              <w:rPr>
                <w:noProof/>
                <w:webHidden/>
              </w:rPr>
              <w:fldChar w:fldCharType="end"/>
            </w:r>
          </w:hyperlink>
        </w:p>
        <w:p w14:paraId="08F76B00" w14:textId="7042FF4E" w:rsidR="00F06447" w:rsidRDefault="00F06447">
          <w:pPr>
            <w:pStyle w:val="31"/>
            <w:tabs>
              <w:tab w:val="left" w:pos="1320"/>
              <w:tab w:val="right" w:leader="dot" w:pos="9054"/>
            </w:tabs>
            <w:rPr>
              <w:rFonts w:eastAsiaTheme="minorEastAsia" w:cstheme="minorBidi"/>
              <w:noProof/>
              <w:kern w:val="2"/>
              <w:sz w:val="24"/>
              <w:szCs w:val="24"/>
              <w:lang w:val="ru-KG" w:eastAsia="ru-KG" w:bidi="ar-SA"/>
              <w14:ligatures w14:val="standardContextual"/>
            </w:rPr>
          </w:pPr>
          <w:hyperlink w:anchor="_Toc219880844" w:history="1">
            <w:r w:rsidRPr="00067B84">
              <w:rPr>
                <w:rStyle w:val="af5"/>
                <w:rFonts w:ascii="Arial" w:hAnsi="Arial" w:cs="Arial"/>
                <w:bCs/>
                <w:noProof/>
              </w:rPr>
              <w:t>B.5.1.</w:t>
            </w:r>
            <w:r>
              <w:rPr>
                <w:rFonts w:eastAsiaTheme="minorEastAsia" w:cstheme="minorBidi"/>
                <w:noProof/>
                <w:kern w:val="2"/>
                <w:sz w:val="24"/>
                <w:szCs w:val="24"/>
                <w:lang w:val="ru-KG" w:eastAsia="ru-KG" w:bidi="ar-SA"/>
                <w14:ligatures w14:val="standardContextual"/>
              </w:rPr>
              <w:tab/>
            </w:r>
            <w:r w:rsidRPr="00067B84">
              <w:rPr>
                <w:rStyle w:val="af5"/>
                <w:rFonts w:ascii="Arial" w:hAnsi="Arial" w:cs="Arial"/>
                <w:bCs/>
                <w:noProof/>
              </w:rPr>
              <w:t>Activities and results related to output areas</w:t>
            </w:r>
            <w:r>
              <w:rPr>
                <w:noProof/>
                <w:webHidden/>
              </w:rPr>
              <w:tab/>
            </w:r>
            <w:r>
              <w:rPr>
                <w:noProof/>
                <w:webHidden/>
              </w:rPr>
              <w:fldChar w:fldCharType="begin"/>
            </w:r>
            <w:r>
              <w:rPr>
                <w:noProof/>
                <w:webHidden/>
              </w:rPr>
              <w:instrText xml:space="preserve"> PAGEREF _Toc219880844 \h </w:instrText>
            </w:r>
            <w:r>
              <w:rPr>
                <w:noProof/>
                <w:webHidden/>
              </w:rPr>
            </w:r>
            <w:r>
              <w:rPr>
                <w:noProof/>
                <w:webHidden/>
              </w:rPr>
              <w:fldChar w:fldCharType="separate"/>
            </w:r>
            <w:r>
              <w:rPr>
                <w:noProof/>
                <w:webHidden/>
              </w:rPr>
              <w:t>22</w:t>
            </w:r>
            <w:r>
              <w:rPr>
                <w:noProof/>
                <w:webHidden/>
              </w:rPr>
              <w:fldChar w:fldCharType="end"/>
            </w:r>
          </w:hyperlink>
        </w:p>
        <w:p w14:paraId="16D08238" w14:textId="772DFCDD" w:rsidR="00F06447" w:rsidRDefault="00F06447">
          <w:pPr>
            <w:pStyle w:val="22"/>
            <w:tabs>
              <w:tab w:val="left" w:pos="880"/>
              <w:tab w:val="right" w:leader="dot" w:pos="9054"/>
            </w:tabs>
            <w:rPr>
              <w:rFonts w:eastAsiaTheme="minorEastAsia" w:cstheme="minorBidi"/>
              <w:b w:val="0"/>
              <w:bCs w:val="0"/>
              <w:noProof/>
              <w:kern w:val="2"/>
              <w:sz w:val="24"/>
              <w:szCs w:val="24"/>
              <w:lang w:val="ru-KG" w:eastAsia="ru-KG" w:bidi="ar-SA"/>
              <w14:ligatures w14:val="standardContextual"/>
            </w:rPr>
          </w:pPr>
          <w:hyperlink w:anchor="_Toc219880845" w:history="1">
            <w:r w:rsidRPr="00067B84">
              <w:rPr>
                <w:rStyle w:val="af5"/>
                <w:rFonts w:ascii="Arial" w:hAnsi="Arial" w:cs="Arial"/>
                <w:noProof/>
              </w:rPr>
              <w:t>B.6.</w:t>
            </w:r>
            <w:r>
              <w:rPr>
                <w:rFonts w:eastAsiaTheme="minorEastAsia" w:cstheme="minorBidi"/>
                <w:b w:val="0"/>
                <w:bCs w:val="0"/>
                <w:noProof/>
                <w:kern w:val="2"/>
                <w:sz w:val="24"/>
                <w:szCs w:val="24"/>
                <w:lang w:val="ru-KG" w:eastAsia="ru-KG" w:bidi="ar-SA"/>
                <w14:ligatures w14:val="standardContextual"/>
              </w:rPr>
              <w:tab/>
            </w:r>
            <w:r w:rsidRPr="00067B84">
              <w:rPr>
                <w:rStyle w:val="af5"/>
                <w:rFonts w:ascii="Arial" w:hAnsi="Arial" w:cs="Arial"/>
                <w:noProof/>
              </w:rPr>
              <w:t>FS 8: Digitalization of rental payments for leasing forest plots</w:t>
            </w:r>
            <w:r>
              <w:rPr>
                <w:noProof/>
                <w:webHidden/>
              </w:rPr>
              <w:tab/>
            </w:r>
            <w:r>
              <w:rPr>
                <w:noProof/>
                <w:webHidden/>
              </w:rPr>
              <w:fldChar w:fldCharType="begin"/>
            </w:r>
            <w:r>
              <w:rPr>
                <w:noProof/>
                <w:webHidden/>
              </w:rPr>
              <w:instrText xml:space="preserve"> PAGEREF _Toc219880845 \h </w:instrText>
            </w:r>
            <w:r>
              <w:rPr>
                <w:noProof/>
                <w:webHidden/>
              </w:rPr>
            </w:r>
            <w:r>
              <w:rPr>
                <w:noProof/>
                <w:webHidden/>
              </w:rPr>
              <w:fldChar w:fldCharType="separate"/>
            </w:r>
            <w:r>
              <w:rPr>
                <w:noProof/>
                <w:webHidden/>
              </w:rPr>
              <w:t>25</w:t>
            </w:r>
            <w:r>
              <w:rPr>
                <w:noProof/>
                <w:webHidden/>
              </w:rPr>
              <w:fldChar w:fldCharType="end"/>
            </w:r>
          </w:hyperlink>
        </w:p>
        <w:p w14:paraId="5820600E" w14:textId="5A36D4B7" w:rsidR="00F06447" w:rsidRDefault="00F06447">
          <w:pPr>
            <w:pStyle w:val="31"/>
            <w:tabs>
              <w:tab w:val="left" w:pos="1320"/>
              <w:tab w:val="right" w:leader="dot" w:pos="9054"/>
            </w:tabs>
            <w:rPr>
              <w:rFonts w:eastAsiaTheme="minorEastAsia" w:cstheme="minorBidi"/>
              <w:noProof/>
              <w:kern w:val="2"/>
              <w:sz w:val="24"/>
              <w:szCs w:val="24"/>
              <w:lang w:val="ru-KG" w:eastAsia="ru-KG" w:bidi="ar-SA"/>
              <w14:ligatures w14:val="standardContextual"/>
            </w:rPr>
          </w:pPr>
          <w:hyperlink w:anchor="_Toc219880847" w:history="1">
            <w:r w:rsidRPr="00067B84">
              <w:rPr>
                <w:rStyle w:val="af5"/>
                <w:rFonts w:ascii="Arial" w:hAnsi="Arial" w:cs="Arial"/>
                <w:bCs/>
                <w:noProof/>
              </w:rPr>
              <w:t>B.6.1.</w:t>
            </w:r>
            <w:r>
              <w:rPr>
                <w:rFonts w:eastAsiaTheme="minorEastAsia" w:cstheme="minorBidi"/>
                <w:noProof/>
                <w:kern w:val="2"/>
                <w:sz w:val="24"/>
                <w:szCs w:val="24"/>
                <w:lang w:val="ru-KG" w:eastAsia="ru-KG" w:bidi="ar-SA"/>
                <w14:ligatures w14:val="standardContextual"/>
              </w:rPr>
              <w:tab/>
            </w:r>
            <w:r w:rsidRPr="00067B84">
              <w:rPr>
                <w:rStyle w:val="af5"/>
                <w:rFonts w:ascii="Arial" w:hAnsi="Arial" w:cs="Arial"/>
                <w:bCs/>
                <w:noProof/>
              </w:rPr>
              <w:t>Activities and results related to output areas</w:t>
            </w:r>
            <w:r>
              <w:rPr>
                <w:noProof/>
                <w:webHidden/>
              </w:rPr>
              <w:tab/>
            </w:r>
            <w:r>
              <w:rPr>
                <w:noProof/>
                <w:webHidden/>
              </w:rPr>
              <w:fldChar w:fldCharType="begin"/>
            </w:r>
            <w:r>
              <w:rPr>
                <w:noProof/>
                <w:webHidden/>
              </w:rPr>
              <w:instrText xml:space="preserve"> PAGEREF _Toc219880847 \h </w:instrText>
            </w:r>
            <w:r>
              <w:rPr>
                <w:noProof/>
                <w:webHidden/>
              </w:rPr>
            </w:r>
            <w:r>
              <w:rPr>
                <w:noProof/>
                <w:webHidden/>
              </w:rPr>
              <w:fldChar w:fldCharType="separate"/>
            </w:r>
            <w:r>
              <w:rPr>
                <w:noProof/>
                <w:webHidden/>
              </w:rPr>
              <w:t>25</w:t>
            </w:r>
            <w:r>
              <w:rPr>
                <w:noProof/>
                <w:webHidden/>
              </w:rPr>
              <w:fldChar w:fldCharType="end"/>
            </w:r>
          </w:hyperlink>
        </w:p>
        <w:p w14:paraId="6D11DE63" w14:textId="701C0D09" w:rsidR="00F06447" w:rsidRDefault="00F06447">
          <w:pPr>
            <w:pStyle w:val="22"/>
            <w:tabs>
              <w:tab w:val="left" w:pos="880"/>
              <w:tab w:val="right" w:leader="dot" w:pos="9054"/>
            </w:tabs>
            <w:rPr>
              <w:rFonts w:eastAsiaTheme="minorEastAsia" w:cstheme="minorBidi"/>
              <w:b w:val="0"/>
              <w:bCs w:val="0"/>
              <w:noProof/>
              <w:kern w:val="2"/>
              <w:sz w:val="24"/>
              <w:szCs w:val="24"/>
              <w:lang w:val="ru-KG" w:eastAsia="ru-KG" w:bidi="ar-SA"/>
              <w14:ligatures w14:val="standardContextual"/>
            </w:rPr>
          </w:pPr>
          <w:hyperlink w:anchor="_Toc219880848" w:history="1">
            <w:r w:rsidRPr="00067B84">
              <w:rPr>
                <w:rStyle w:val="af5"/>
                <w:rFonts w:ascii="Arial" w:hAnsi="Arial" w:cs="Arial"/>
                <w:noProof/>
              </w:rPr>
              <w:t>B.7.</w:t>
            </w:r>
            <w:r>
              <w:rPr>
                <w:rFonts w:eastAsiaTheme="minorEastAsia" w:cstheme="minorBidi"/>
                <w:b w:val="0"/>
                <w:bCs w:val="0"/>
                <w:noProof/>
                <w:kern w:val="2"/>
                <w:sz w:val="24"/>
                <w:szCs w:val="24"/>
                <w:lang w:val="ru-KG" w:eastAsia="ru-KG" w:bidi="ar-SA"/>
                <w14:ligatures w14:val="standardContextual"/>
              </w:rPr>
              <w:tab/>
            </w:r>
            <w:r w:rsidRPr="00067B84">
              <w:rPr>
                <w:rStyle w:val="af5"/>
                <w:rFonts w:ascii="Arial" w:hAnsi="Arial" w:cs="Arial"/>
                <w:noProof/>
              </w:rPr>
              <w:t>FS 10: Integrating environmental considerations into the financial sector</w:t>
            </w:r>
            <w:r>
              <w:rPr>
                <w:noProof/>
                <w:webHidden/>
              </w:rPr>
              <w:tab/>
            </w:r>
            <w:r>
              <w:rPr>
                <w:noProof/>
                <w:webHidden/>
              </w:rPr>
              <w:fldChar w:fldCharType="begin"/>
            </w:r>
            <w:r>
              <w:rPr>
                <w:noProof/>
                <w:webHidden/>
              </w:rPr>
              <w:instrText xml:space="preserve"> PAGEREF _Toc219880848 \h </w:instrText>
            </w:r>
            <w:r>
              <w:rPr>
                <w:noProof/>
                <w:webHidden/>
              </w:rPr>
            </w:r>
            <w:r>
              <w:rPr>
                <w:noProof/>
                <w:webHidden/>
              </w:rPr>
              <w:fldChar w:fldCharType="separate"/>
            </w:r>
            <w:r>
              <w:rPr>
                <w:noProof/>
                <w:webHidden/>
              </w:rPr>
              <w:t>27</w:t>
            </w:r>
            <w:r>
              <w:rPr>
                <w:noProof/>
                <w:webHidden/>
              </w:rPr>
              <w:fldChar w:fldCharType="end"/>
            </w:r>
          </w:hyperlink>
        </w:p>
        <w:p w14:paraId="618D6BFB" w14:textId="7B6788F3" w:rsidR="00F06447" w:rsidRDefault="00F06447">
          <w:pPr>
            <w:pStyle w:val="31"/>
            <w:tabs>
              <w:tab w:val="left" w:pos="1320"/>
              <w:tab w:val="right" w:leader="dot" w:pos="9054"/>
            </w:tabs>
            <w:rPr>
              <w:rFonts w:eastAsiaTheme="minorEastAsia" w:cstheme="minorBidi"/>
              <w:noProof/>
              <w:kern w:val="2"/>
              <w:sz w:val="24"/>
              <w:szCs w:val="24"/>
              <w:lang w:val="ru-KG" w:eastAsia="ru-KG" w:bidi="ar-SA"/>
              <w14:ligatures w14:val="standardContextual"/>
            </w:rPr>
          </w:pPr>
          <w:hyperlink w:anchor="_Toc219880850" w:history="1">
            <w:r w:rsidRPr="00067B84">
              <w:rPr>
                <w:rStyle w:val="af5"/>
                <w:rFonts w:ascii="Arial" w:hAnsi="Arial" w:cs="Arial"/>
                <w:bCs/>
                <w:noProof/>
              </w:rPr>
              <w:t>B.7.1.</w:t>
            </w:r>
            <w:r>
              <w:rPr>
                <w:rFonts w:eastAsiaTheme="minorEastAsia" w:cstheme="minorBidi"/>
                <w:noProof/>
                <w:kern w:val="2"/>
                <w:sz w:val="24"/>
                <w:szCs w:val="24"/>
                <w:lang w:val="ru-KG" w:eastAsia="ru-KG" w:bidi="ar-SA"/>
                <w14:ligatures w14:val="standardContextual"/>
              </w:rPr>
              <w:tab/>
            </w:r>
            <w:r w:rsidRPr="00067B84">
              <w:rPr>
                <w:rStyle w:val="af5"/>
                <w:rFonts w:ascii="Arial" w:hAnsi="Arial" w:cs="Arial"/>
                <w:bCs/>
                <w:noProof/>
              </w:rPr>
              <w:t>Activities and results related to output areas</w:t>
            </w:r>
            <w:r>
              <w:rPr>
                <w:noProof/>
                <w:webHidden/>
              </w:rPr>
              <w:tab/>
            </w:r>
            <w:r>
              <w:rPr>
                <w:noProof/>
                <w:webHidden/>
              </w:rPr>
              <w:fldChar w:fldCharType="begin"/>
            </w:r>
            <w:r>
              <w:rPr>
                <w:noProof/>
                <w:webHidden/>
              </w:rPr>
              <w:instrText xml:space="preserve"> PAGEREF _Toc219880850 \h </w:instrText>
            </w:r>
            <w:r>
              <w:rPr>
                <w:noProof/>
                <w:webHidden/>
              </w:rPr>
            </w:r>
            <w:r>
              <w:rPr>
                <w:noProof/>
                <w:webHidden/>
              </w:rPr>
              <w:fldChar w:fldCharType="separate"/>
            </w:r>
            <w:r>
              <w:rPr>
                <w:noProof/>
                <w:webHidden/>
              </w:rPr>
              <w:t>27</w:t>
            </w:r>
            <w:r>
              <w:rPr>
                <w:noProof/>
                <w:webHidden/>
              </w:rPr>
              <w:fldChar w:fldCharType="end"/>
            </w:r>
          </w:hyperlink>
        </w:p>
        <w:p w14:paraId="09746B4E" w14:textId="1D5E0BFC" w:rsidR="00F06447" w:rsidRDefault="00F06447">
          <w:pPr>
            <w:pStyle w:val="12"/>
            <w:tabs>
              <w:tab w:val="left" w:pos="660"/>
            </w:tabs>
            <w:rPr>
              <w:rFonts w:asciiTheme="minorHAnsi" w:eastAsiaTheme="minorEastAsia" w:hAnsiTheme="minorHAnsi" w:cstheme="minorBidi"/>
              <w:b w:val="0"/>
              <w:bCs w:val="0"/>
              <w:kern w:val="2"/>
              <w:sz w:val="24"/>
              <w:szCs w:val="24"/>
              <w:lang w:val="ru-KG" w:eastAsia="ru-KG" w:bidi="ar-SA"/>
              <w14:ligatures w14:val="standardContextual"/>
            </w:rPr>
          </w:pPr>
          <w:hyperlink w:anchor="_Toc219880851" w:history="1">
            <w:r w:rsidRPr="00067B84">
              <w:rPr>
                <w:rStyle w:val="af5"/>
              </w:rPr>
              <w:t>C.</w:t>
            </w:r>
            <w:r>
              <w:rPr>
                <w:rFonts w:asciiTheme="minorHAnsi" w:eastAsiaTheme="minorEastAsia" w:hAnsiTheme="minorHAnsi" w:cstheme="minorBidi"/>
                <w:b w:val="0"/>
                <w:bCs w:val="0"/>
                <w:kern w:val="2"/>
                <w:sz w:val="24"/>
                <w:szCs w:val="24"/>
                <w:lang w:val="ru-KG" w:eastAsia="ru-KG" w:bidi="ar-SA"/>
                <w14:ligatures w14:val="standardContextual"/>
              </w:rPr>
              <w:tab/>
            </w:r>
            <w:r w:rsidRPr="00067B84">
              <w:rPr>
                <w:rStyle w:val="af5"/>
              </w:rPr>
              <w:t>Lessons learned and adaptive measures:</w:t>
            </w:r>
            <w:r>
              <w:rPr>
                <w:webHidden/>
              </w:rPr>
              <w:tab/>
            </w:r>
            <w:r>
              <w:rPr>
                <w:webHidden/>
              </w:rPr>
              <w:fldChar w:fldCharType="begin"/>
            </w:r>
            <w:r>
              <w:rPr>
                <w:webHidden/>
              </w:rPr>
              <w:instrText xml:space="preserve"> PAGEREF _Toc219880851 \h </w:instrText>
            </w:r>
            <w:r>
              <w:rPr>
                <w:webHidden/>
              </w:rPr>
            </w:r>
            <w:r>
              <w:rPr>
                <w:webHidden/>
              </w:rPr>
              <w:fldChar w:fldCharType="separate"/>
            </w:r>
            <w:r>
              <w:rPr>
                <w:webHidden/>
              </w:rPr>
              <w:t>28</w:t>
            </w:r>
            <w:r>
              <w:rPr>
                <w:webHidden/>
              </w:rPr>
              <w:fldChar w:fldCharType="end"/>
            </w:r>
          </w:hyperlink>
        </w:p>
        <w:p w14:paraId="5245511F" w14:textId="2EA61776" w:rsidR="00F06447" w:rsidRDefault="00F06447">
          <w:pPr>
            <w:pStyle w:val="12"/>
            <w:tabs>
              <w:tab w:val="left" w:pos="660"/>
            </w:tabs>
            <w:rPr>
              <w:rFonts w:asciiTheme="minorHAnsi" w:eastAsiaTheme="minorEastAsia" w:hAnsiTheme="minorHAnsi" w:cstheme="minorBidi"/>
              <w:b w:val="0"/>
              <w:bCs w:val="0"/>
              <w:kern w:val="2"/>
              <w:sz w:val="24"/>
              <w:szCs w:val="24"/>
              <w:lang w:val="ru-KG" w:eastAsia="ru-KG" w:bidi="ar-SA"/>
              <w14:ligatures w14:val="standardContextual"/>
            </w:rPr>
          </w:pPr>
          <w:hyperlink w:anchor="_Toc219880852" w:history="1">
            <w:r w:rsidRPr="00067B84">
              <w:rPr>
                <w:rStyle w:val="af5"/>
              </w:rPr>
              <w:t>D.</w:t>
            </w:r>
            <w:r>
              <w:rPr>
                <w:rFonts w:asciiTheme="minorHAnsi" w:eastAsiaTheme="minorEastAsia" w:hAnsiTheme="minorHAnsi" w:cstheme="minorBidi"/>
                <w:b w:val="0"/>
                <w:bCs w:val="0"/>
                <w:kern w:val="2"/>
                <w:sz w:val="24"/>
                <w:szCs w:val="24"/>
                <w:lang w:val="ru-KG" w:eastAsia="ru-KG" w:bidi="ar-SA"/>
                <w14:ligatures w14:val="standardContextual"/>
              </w:rPr>
              <w:tab/>
            </w:r>
            <w:r w:rsidRPr="00067B84">
              <w:rPr>
                <w:rStyle w:val="af5"/>
              </w:rPr>
              <w:t>Risks</w:t>
            </w:r>
            <w:r>
              <w:rPr>
                <w:webHidden/>
              </w:rPr>
              <w:tab/>
            </w:r>
            <w:r>
              <w:rPr>
                <w:webHidden/>
              </w:rPr>
              <w:fldChar w:fldCharType="begin"/>
            </w:r>
            <w:r>
              <w:rPr>
                <w:webHidden/>
              </w:rPr>
              <w:instrText xml:space="preserve"> PAGEREF _Toc219880852 \h </w:instrText>
            </w:r>
            <w:r>
              <w:rPr>
                <w:webHidden/>
              </w:rPr>
            </w:r>
            <w:r>
              <w:rPr>
                <w:webHidden/>
              </w:rPr>
              <w:fldChar w:fldCharType="separate"/>
            </w:r>
            <w:r>
              <w:rPr>
                <w:webHidden/>
              </w:rPr>
              <w:t>28</w:t>
            </w:r>
            <w:r>
              <w:rPr>
                <w:webHidden/>
              </w:rPr>
              <w:fldChar w:fldCharType="end"/>
            </w:r>
          </w:hyperlink>
        </w:p>
        <w:p w14:paraId="4845FE88" w14:textId="6459D95E" w:rsidR="00F06447" w:rsidRDefault="00F06447">
          <w:pPr>
            <w:pStyle w:val="22"/>
            <w:tabs>
              <w:tab w:val="left" w:pos="880"/>
              <w:tab w:val="right" w:leader="dot" w:pos="9054"/>
            </w:tabs>
            <w:rPr>
              <w:rFonts w:eastAsiaTheme="minorEastAsia" w:cstheme="minorBidi"/>
              <w:b w:val="0"/>
              <w:bCs w:val="0"/>
              <w:noProof/>
              <w:kern w:val="2"/>
              <w:sz w:val="24"/>
              <w:szCs w:val="24"/>
              <w:lang w:val="ru-KG" w:eastAsia="ru-KG" w:bidi="ar-SA"/>
              <w14:ligatures w14:val="standardContextual"/>
            </w:rPr>
          </w:pPr>
          <w:hyperlink w:anchor="_Toc219880853" w:history="1">
            <w:r w:rsidRPr="00067B84">
              <w:rPr>
                <w:rStyle w:val="af5"/>
                <w:noProof/>
              </w:rPr>
              <w:t>D.1.</w:t>
            </w:r>
            <w:r>
              <w:rPr>
                <w:rFonts w:eastAsiaTheme="minorEastAsia" w:cstheme="minorBidi"/>
                <w:b w:val="0"/>
                <w:bCs w:val="0"/>
                <w:noProof/>
                <w:kern w:val="2"/>
                <w:sz w:val="24"/>
                <w:szCs w:val="24"/>
                <w:lang w:val="ru-KG" w:eastAsia="ru-KG" w:bidi="ar-SA"/>
                <w14:ligatures w14:val="standardContextual"/>
              </w:rPr>
              <w:tab/>
            </w:r>
            <w:r w:rsidRPr="00067B84">
              <w:rPr>
                <w:rStyle w:val="af5"/>
                <w:noProof/>
              </w:rPr>
              <w:t xml:space="preserve">Programmatic risks (risks </w:t>
            </w:r>
            <w:r w:rsidRPr="00067B84">
              <w:rPr>
                <w:rStyle w:val="af5"/>
                <w:i/>
                <w:iCs/>
                <w:noProof/>
              </w:rPr>
              <w:t>to</w:t>
            </w:r>
            <w:r w:rsidRPr="00067B84">
              <w:rPr>
                <w:rStyle w:val="af5"/>
                <w:noProof/>
              </w:rPr>
              <w:t xml:space="preserve"> the programme)</w:t>
            </w:r>
            <w:r>
              <w:rPr>
                <w:noProof/>
                <w:webHidden/>
              </w:rPr>
              <w:tab/>
            </w:r>
            <w:r>
              <w:rPr>
                <w:noProof/>
                <w:webHidden/>
              </w:rPr>
              <w:fldChar w:fldCharType="begin"/>
            </w:r>
            <w:r>
              <w:rPr>
                <w:noProof/>
                <w:webHidden/>
              </w:rPr>
              <w:instrText xml:space="preserve"> PAGEREF _Toc219880853 \h </w:instrText>
            </w:r>
            <w:r>
              <w:rPr>
                <w:noProof/>
                <w:webHidden/>
              </w:rPr>
            </w:r>
            <w:r>
              <w:rPr>
                <w:noProof/>
                <w:webHidden/>
              </w:rPr>
              <w:fldChar w:fldCharType="separate"/>
            </w:r>
            <w:r>
              <w:rPr>
                <w:noProof/>
                <w:webHidden/>
              </w:rPr>
              <w:t>28</w:t>
            </w:r>
            <w:r>
              <w:rPr>
                <w:noProof/>
                <w:webHidden/>
              </w:rPr>
              <w:fldChar w:fldCharType="end"/>
            </w:r>
          </w:hyperlink>
        </w:p>
        <w:p w14:paraId="4042934E" w14:textId="7A8F0B92" w:rsidR="00F06447" w:rsidRDefault="00F06447">
          <w:pPr>
            <w:pStyle w:val="22"/>
            <w:tabs>
              <w:tab w:val="left" w:pos="880"/>
              <w:tab w:val="right" w:leader="dot" w:pos="9054"/>
            </w:tabs>
            <w:rPr>
              <w:rFonts w:eastAsiaTheme="minorEastAsia" w:cstheme="minorBidi"/>
              <w:b w:val="0"/>
              <w:bCs w:val="0"/>
              <w:noProof/>
              <w:kern w:val="2"/>
              <w:sz w:val="24"/>
              <w:szCs w:val="24"/>
              <w:lang w:val="ru-KG" w:eastAsia="ru-KG" w:bidi="ar-SA"/>
              <w14:ligatures w14:val="standardContextual"/>
            </w:rPr>
          </w:pPr>
          <w:hyperlink w:anchor="_Toc219880854" w:history="1">
            <w:r w:rsidRPr="00067B84">
              <w:rPr>
                <w:rStyle w:val="af5"/>
                <w:noProof/>
              </w:rPr>
              <w:t>D.2.</w:t>
            </w:r>
            <w:r>
              <w:rPr>
                <w:rFonts w:eastAsiaTheme="minorEastAsia" w:cstheme="minorBidi"/>
                <w:b w:val="0"/>
                <w:bCs w:val="0"/>
                <w:noProof/>
                <w:kern w:val="2"/>
                <w:sz w:val="24"/>
                <w:szCs w:val="24"/>
                <w:lang w:val="ru-KG" w:eastAsia="ru-KG" w:bidi="ar-SA"/>
                <w14:ligatures w14:val="standardContextual"/>
              </w:rPr>
              <w:tab/>
            </w:r>
            <w:r w:rsidRPr="00067B84">
              <w:rPr>
                <w:rStyle w:val="af5"/>
                <w:noProof/>
              </w:rPr>
              <w:t>Social and environmental risks (</w:t>
            </w:r>
            <w:r w:rsidRPr="00067B84">
              <w:rPr>
                <w:rStyle w:val="af5"/>
                <w:i/>
                <w:iCs/>
                <w:noProof/>
              </w:rPr>
              <w:t>of</w:t>
            </w:r>
            <w:r w:rsidRPr="00067B84">
              <w:rPr>
                <w:rStyle w:val="af5"/>
                <w:noProof/>
              </w:rPr>
              <w:t xml:space="preserve"> the programme)</w:t>
            </w:r>
            <w:r>
              <w:rPr>
                <w:noProof/>
                <w:webHidden/>
              </w:rPr>
              <w:tab/>
            </w:r>
            <w:r>
              <w:rPr>
                <w:noProof/>
                <w:webHidden/>
              </w:rPr>
              <w:fldChar w:fldCharType="begin"/>
            </w:r>
            <w:r>
              <w:rPr>
                <w:noProof/>
                <w:webHidden/>
              </w:rPr>
              <w:instrText xml:space="preserve"> PAGEREF _Toc219880854 \h </w:instrText>
            </w:r>
            <w:r>
              <w:rPr>
                <w:noProof/>
                <w:webHidden/>
              </w:rPr>
            </w:r>
            <w:r>
              <w:rPr>
                <w:noProof/>
                <w:webHidden/>
              </w:rPr>
              <w:fldChar w:fldCharType="separate"/>
            </w:r>
            <w:r>
              <w:rPr>
                <w:noProof/>
                <w:webHidden/>
              </w:rPr>
              <w:t>29</w:t>
            </w:r>
            <w:r>
              <w:rPr>
                <w:noProof/>
                <w:webHidden/>
              </w:rPr>
              <w:fldChar w:fldCharType="end"/>
            </w:r>
          </w:hyperlink>
        </w:p>
        <w:p w14:paraId="5519E064" w14:textId="2C9F72D4" w:rsidR="00F06447" w:rsidRDefault="00F06447">
          <w:pPr>
            <w:pStyle w:val="12"/>
            <w:rPr>
              <w:rFonts w:asciiTheme="minorHAnsi" w:eastAsiaTheme="minorEastAsia" w:hAnsiTheme="minorHAnsi" w:cstheme="minorBidi"/>
              <w:b w:val="0"/>
              <w:bCs w:val="0"/>
              <w:kern w:val="2"/>
              <w:sz w:val="24"/>
              <w:szCs w:val="24"/>
              <w:lang w:val="ru-KG" w:eastAsia="ru-KG" w:bidi="ar-SA"/>
              <w14:ligatures w14:val="standardContextual"/>
            </w:rPr>
          </w:pPr>
          <w:hyperlink w:anchor="_Toc219880855" w:history="1">
            <w:r w:rsidRPr="00067B84">
              <w:rPr>
                <w:rStyle w:val="af5"/>
              </w:rPr>
              <w:t>List of annexes and related notes</w:t>
            </w:r>
            <w:r>
              <w:rPr>
                <w:webHidden/>
              </w:rPr>
              <w:tab/>
            </w:r>
            <w:r>
              <w:rPr>
                <w:webHidden/>
              </w:rPr>
              <w:fldChar w:fldCharType="begin"/>
            </w:r>
            <w:r>
              <w:rPr>
                <w:webHidden/>
              </w:rPr>
              <w:instrText xml:space="preserve"> PAGEREF _Toc219880855 \h </w:instrText>
            </w:r>
            <w:r>
              <w:rPr>
                <w:webHidden/>
              </w:rPr>
            </w:r>
            <w:r>
              <w:rPr>
                <w:webHidden/>
              </w:rPr>
              <w:fldChar w:fldCharType="separate"/>
            </w:r>
            <w:r>
              <w:rPr>
                <w:webHidden/>
              </w:rPr>
              <w:t>29</w:t>
            </w:r>
            <w:r>
              <w:rPr>
                <w:webHidden/>
              </w:rPr>
              <w:fldChar w:fldCharType="end"/>
            </w:r>
          </w:hyperlink>
        </w:p>
        <w:p w14:paraId="5CC239FD" w14:textId="66F83953" w:rsidR="00F06447" w:rsidRDefault="00F06447">
          <w:pPr>
            <w:pStyle w:val="22"/>
            <w:tabs>
              <w:tab w:val="right" w:leader="dot" w:pos="9054"/>
            </w:tabs>
            <w:rPr>
              <w:rFonts w:eastAsiaTheme="minorEastAsia" w:cstheme="minorBidi"/>
              <w:b w:val="0"/>
              <w:bCs w:val="0"/>
              <w:noProof/>
              <w:kern w:val="2"/>
              <w:sz w:val="24"/>
              <w:szCs w:val="24"/>
              <w:lang w:val="ru-KG" w:eastAsia="ru-KG" w:bidi="ar-SA"/>
              <w14:ligatures w14:val="standardContextual"/>
            </w:rPr>
          </w:pPr>
          <w:hyperlink w:anchor="_Toc219880856" w:history="1">
            <w:r w:rsidRPr="00067B84">
              <w:rPr>
                <w:rStyle w:val="af5"/>
                <w:noProof/>
              </w:rPr>
              <w:t>Annex 1: Indicator Tracking Table (in Excel)</w:t>
            </w:r>
            <w:r>
              <w:rPr>
                <w:noProof/>
                <w:webHidden/>
              </w:rPr>
              <w:tab/>
            </w:r>
            <w:r>
              <w:rPr>
                <w:noProof/>
                <w:webHidden/>
              </w:rPr>
              <w:fldChar w:fldCharType="begin"/>
            </w:r>
            <w:r>
              <w:rPr>
                <w:noProof/>
                <w:webHidden/>
              </w:rPr>
              <w:instrText xml:space="preserve"> PAGEREF _Toc219880856 \h </w:instrText>
            </w:r>
            <w:r>
              <w:rPr>
                <w:noProof/>
                <w:webHidden/>
              </w:rPr>
            </w:r>
            <w:r>
              <w:rPr>
                <w:noProof/>
                <w:webHidden/>
              </w:rPr>
              <w:fldChar w:fldCharType="separate"/>
            </w:r>
            <w:r>
              <w:rPr>
                <w:noProof/>
                <w:webHidden/>
              </w:rPr>
              <w:t>29</w:t>
            </w:r>
            <w:r>
              <w:rPr>
                <w:noProof/>
                <w:webHidden/>
              </w:rPr>
              <w:fldChar w:fldCharType="end"/>
            </w:r>
          </w:hyperlink>
        </w:p>
        <w:p w14:paraId="4DBE3D6B" w14:textId="22377AB3" w:rsidR="009721B3" w:rsidRPr="007969E9" w:rsidRDefault="009721B3">
          <w:pPr>
            <w:rPr>
              <w:rFonts w:ascii="Arial" w:hAnsi="Arial" w:cs="Arial"/>
            </w:rPr>
          </w:pPr>
          <w:r w:rsidRPr="007969E9">
            <w:rPr>
              <w:rFonts w:ascii="Arial" w:hAnsi="Arial" w:cs="Arial"/>
              <w:b/>
              <w:bCs/>
              <w:noProof/>
            </w:rPr>
            <w:fldChar w:fldCharType="end"/>
          </w:r>
        </w:p>
      </w:sdtContent>
    </w:sdt>
    <w:p w14:paraId="07CB92DA" w14:textId="657DD5C9" w:rsidR="00826BC4" w:rsidRPr="006A541B" w:rsidRDefault="005B6BF5" w:rsidP="006A541B">
      <w:pPr>
        <w:pStyle w:val="1"/>
        <w:numPr>
          <w:ilvl w:val="0"/>
          <w:numId w:val="0"/>
        </w:numPr>
        <w:ind w:left="709"/>
        <w:rPr>
          <w:sz w:val="22"/>
          <w:szCs w:val="22"/>
        </w:rPr>
      </w:pPr>
      <w:bookmarkStart w:id="4" w:name="_Toc193448574"/>
      <w:bookmarkStart w:id="5" w:name="_Toc193526973"/>
      <w:bookmarkStart w:id="6" w:name="_Toc193527080"/>
      <w:bookmarkStart w:id="7" w:name="_Toc320869583"/>
      <w:bookmarkStart w:id="8" w:name="_Toc320886205"/>
      <w:bookmarkStart w:id="9" w:name="_Toc325019112"/>
      <w:r w:rsidRPr="007969E9">
        <w:br w:type="page"/>
      </w:r>
      <w:bookmarkStart w:id="10" w:name="_Toc339531581"/>
      <w:bookmarkStart w:id="11" w:name="_Toc340564868"/>
      <w:bookmarkStart w:id="12" w:name="_Toc219880822"/>
      <w:r w:rsidR="00F66929" w:rsidRPr="00F970CF">
        <w:rPr>
          <w:sz w:val="22"/>
          <w:szCs w:val="22"/>
        </w:rPr>
        <w:lastRenderedPageBreak/>
        <w:t>Abbreviations and Acronyms</w:t>
      </w:r>
      <w:bookmarkEnd w:id="12"/>
    </w:p>
    <w:tbl>
      <w:tblPr>
        <w:tblW w:w="8931" w:type="dxa"/>
        <w:tblLook w:val="04A0" w:firstRow="1" w:lastRow="0" w:firstColumn="1" w:lastColumn="0" w:noHBand="0" w:noVBand="1"/>
      </w:tblPr>
      <w:tblGrid>
        <w:gridCol w:w="1560"/>
        <w:gridCol w:w="7371"/>
      </w:tblGrid>
      <w:tr w:rsidR="00AE17FA" w:rsidRPr="00AE17FA" w14:paraId="3964B89F" w14:textId="77777777" w:rsidTr="00AA1A6D">
        <w:trPr>
          <w:trHeight w:val="300"/>
        </w:trPr>
        <w:tc>
          <w:tcPr>
            <w:tcW w:w="1560" w:type="dxa"/>
            <w:tcBorders>
              <w:top w:val="nil"/>
              <w:left w:val="nil"/>
              <w:bottom w:val="nil"/>
              <w:right w:val="nil"/>
            </w:tcBorders>
            <w:noWrap/>
            <w:vAlign w:val="bottom"/>
            <w:hideMark/>
          </w:tcPr>
          <w:p w14:paraId="62B3C6C5"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AIS</w:t>
            </w:r>
          </w:p>
        </w:tc>
        <w:tc>
          <w:tcPr>
            <w:tcW w:w="7371" w:type="dxa"/>
            <w:tcBorders>
              <w:top w:val="nil"/>
              <w:left w:val="nil"/>
              <w:bottom w:val="nil"/>
              <w:right w:val="nil"/>
            </w:tcBorders>
            <w:noWrap/>
            <w:vAlign w:val="bottom"/>
            <w:hideMark/>
          </w:tcPr>
          <w:p w14:paraId="25DD647C"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Automated Information System</w:t>
            </w:r>
          </w:p>
        </w:tc>
      </w:tr>
      <w:tr w:rsidR="00AE17FA" w:rsidRPr="00AE17FA" w14:paraId="2EA87642" w14:textId="77777777" w:rsidTr="00AA1A6D">
        <w:trPr>
          <w:trHeight w:val="300"/>
        </w:trPr>
        <w:tc>
          <w:tcPr>
            <w:tcW w:w="1560" w:type="dxa"/>
            <w:tcBorders>
              <w:top w:val="nil"/>
              <w:left w:val="nil"/>
              <w:bottom w:val="nil"/>
              <w:right w:val="nil"/>
            </w:tcBorders>
            <w:noWrap/>
            <w:vAlign w:val="bottom"/>
            <w:hideMark/>
          </w:tcPr>
          <w:p w14:paraId="680B81DA"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BFP</w:t>
            </w:r>
          </w:p>
        </w:tc>
        <w:tc>
          <w:tcPr>
            <w:tcW w:w="7371" w:type="dxa"/>
            <w:tcBorders>
              <w:top w:val="nil"/>
              <w:left w:val="nil"/>
              <w:bottom w:val="nil"/>
              <w:right w:val="nil"/>
            </w:tcBorders>
            <w:noWrap/>
            <w:vAlign w:val="bottom"/>
            <w:hideMark/>
          </w:tcPr>
          <w:p w14:paraId="1C817D16"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Biodiversity Finance Plan</w:t>
            </w:r>
          </w:p>
        </w:tc>
      </w:tr>
      <w:tr w:rsidR="00194D7A" w:rsidRPr="00AE17FA" w14:paraId="159A35A7" w14:textId="77777777" w:rsidTr="00AA1A6D">
        <w:trPr>
          <w:trHeight w:val="300"/>
        </w:trPr>
        <w:tc>
          <w:tcPr>
            <w:tcW w:w="1560" w:type="dxa"/>
            <w:tcBorders>
              <w:top w:val="nil"/>
              <w:left w:val="nil"/>
              <w:bottom w:val="nil"/>
              <w:right w:val="nil"/>
            </w:tcBorders>
            <w:noWrap/>
            <w:vAlign w:val="bottom"/>
          </w:tcPr>
          <w:p w14:paraId="4FAC0436" w14:textId="3FD0B804" w:rsidR="00194D7A" w:rsidRPr="00AE17FA" w:rsidRDefault="00194D7A" w:rsidP="00AE17FA">
            <w:pPr>
              <w:autoSpaceDE/>
              <w:autoSpaceDN/>
              <w:adjustRightInd/>
              <w:spacing w:after="0" w:line="240" w:lineRule="auto"/>
              <w:rPr>
                <w:rFonts w:ascii="Calibri" w:hAnsi="Calibri" w:cs="Calibri"/>
                <w:lang w:bidi="ar-SA"/>
              </w:rPr>
            </w:pPr>
            <w:r>
              <w:rPr>
                <w:rFonts w:ascii="Calibri" w:hAnsi="Calibri" w:cs="Calibri"/>
                <w:lang w:bidi="ar-SA"/>
              </w:rPr>
              <w:t>BIOFIN</w:t>
            </w:r>
          </w:p>
        </w:tc>
        <w:tc>
          <w:tcPr>
            <w:tcW w:w="7371" w:type="dxa"/>
            <w:tcBorders>
              <w:top w:val="nil"/>
              <w:left w:val="nil"/>
              <w:bottom w:val="nil"/>
              <w:right w:val="nil"/>
            </w:tcBorders>
            <w:noWrap/>
            <w:vAlign w:val="bottom"/>
          </w:tcPr>
          <w:p w14:paraId="152A5F64" w14:textId="4CE65687" w:rsidR="00194D7A" w:rsidRPr="00AE17FA" w:rsidRDefault="00194D7A" w:rsidP="00AE17FA">
            <w:pPr>
              <w:autoSpaceDE/>
              <w:autoSpaceDN/>
              <w:adjustRightInd/>
              <w:spacing w:after="0" w:line="240" w:lineRule="auto"/>
              <w:rPr>
                <w:rFonts w:ascii="Calibri" w:hAnsi="Calibri" w:cs="Calibri"/>
                <w:lang w:bidi="ar-SA"/>
              </w:rPr>
            </w:pPr>
            <w:r>
              <w:rPr>
                <w:rFonts w:ascii="Calibri" w:hAnsi="Calibri" w:cs="Calibri"/>
                <w:lang w:bidi="ar-SA"/>
              </w:rPr>
              <w:t>Biodiversity Finance Initiative</w:t>
            </w:r>
          </w:p>
        </w:tc>
      </w:tr>
      <w:tr w:rsidR="005B0D93" w:rsidRPr="00AE17FA" w14:paraId="6D8CED47" w14:textId="77777777" w:rsidTr="00AA1A6D">
        <w:trPr>
          <w:trHeight w:val="300"/>
        </w:trPr>
        <w:tc>
          <w:tcPr>
            <w:tcW w:w="1560" w:type="dxa"/>
            <w:tcBorders>
              <w:top w:val="nil"/>
              <w:left w:val="nil"/>
              <w:bottom w:val="nil"/>
              <w:right w:val="nil"/>
            </w:tcBorders>
            <w:noWrap/>
            <w:vAlign w:val="bottom"/>
          </w:tcPr>
          <w:p w14:paraId="7331F6E8" w14:textId="1CFB02F2" w:rsidR="005B0D93" w:rsidRDefault="005B0D93" w:rsidP="00AE17FA">
            <w:pPr>
              <w:autoSpaceDE/>
              <w:autoSpaceDN/>
              <w:adjustRightInd/>
              <w:spacing w:after="0" w:line="240" w:lineRule="auto"/>
              <w:rPr>
                <w:rFonts w:ascii="Calibri" w:hAnsi="Calibri" w:cs="Calibri"/>
                <w:lang w:bidi="ar-SA"/>
              </w:rPr>
            </w:pPr>
            <w:r>
              <w:rPr>
                <w:rFonts w:ascii="Calibri" w:hAnsi="Calibri" w:cs="Calibri"/>
                <w:lang w:bidi="ar-SA"/>
              </w:rPr>
              <w:t>BER</w:t>
            </w:r>
          </w:p>
        </w:tc>
        <w:tc>
          <w:tcPr>
            <w:tcW w:w="7371" w:type="dxa"/>
            <w:tcBorders>
              <w:top w:val="nil"/>
              <w:left w:val="nil"/>
              <w:bottom w:val="nil"/>
              <w:right w:val="nil"/>
            </w:tcBorders>
            <w:noWrap/>
            <w:vAlign w:val="bottom"/>
          </w:tcPr>
          <w:p w14:paraId="5EDA08B5" w14:textId="06F952E4" w:rsidR="005B0D93" w:rsidRDefault="005B0D93" w:rsidP="00AE17FA">
            <w:pPr>
              <w:autoSpaceDE/>
              <w:autoSpaceDN/>
              <w:adjustRightInd/>
              <w:spacing w:after="0" w:line="240" w:lineRule="auto"/>
              <w:rPr>
                <w:rFonts w:ascii="Calibri" w:hAnsi="Calibri" w:cs="Calibri"/>
                <w:lang w:bidi="ar-SA"/>
              </w:rPr>
            </w:pPr>
            <w:r>
              <w:rPr>
                <w:rFonts w:ascii="Calibri" w:hAnsi="Calibri" w:cs="Calibri"/>
                <w:lang w:bidi="ar-SA"/>
              </w:rPr>
              <w:t>Biodiversity Expenditure Review</w:t>
            </w:r>
          </w:p>
        </w:tc>
      </w:tr>
      <w:tr w:rsidR="00AE17FA" w:rsidRPr="00AE17FA" w14:paraId="6C6BB841" w14:textId="77777777" w:rsidTr="00AA1A6D">
        <w:trPr>
          <w:trHeight w:val="300"/>
        </w:trPr>
        <w:tc>
          <w:tcPr>
            <w:tcW w:w="1560" w:type="dxa"/>
            <w:tcBorders>
              <w:top w:val="nil"/>
              <w:left w:val="nil"/>
              <w:bottom w:val="nil"/>
              <w:right w:val="nil"/>
            </w:tcBorders>
            <w:noWrap/>
            <w:vAlign w:val="bottom"/>
            <w:hideMark/>
          </w:tcPr>
          <w:p w14:paraId="4874AC90" w14:textId="150B9C81" w:rsidR="00AE17FA" w:rsidRPr="00AE17FA" w:rsidRDefault="000C0E1D" w:rsidP="00AE17FA">
            <w:pPr>
              <w:autoSpaceDE/>
              <w:autoSpaceDN/>
              <w:adjustRightInd/>
              <w:spacing w:after="0" w:line="240" w:lineRule="auto"/>
              <w:rPr>
                <w:rFonts w:ascii="Calibri" w:hAnsi="Calibri" w:cs="Calibri"/>
                <w:lang w:bidi="ar-SA"/>
              </w:rPr>
            </w:pPr>
            <w:r>
              <w:rPr>
                <w:rFonts w:ascii="Calibri" w:hAnsi="Calibri" w:cs="Calibri"/>
                <w:lang w:bidi="ar-SA"/>
              </w:rPr>
              <w:t>BMZ</w:t>
            </w:r>
          </w:p>
        </w:tc>
        <w:tc>
          <w:tcPr>
            <w:tcW w:w="7371" w:type="dxa"/>
            <w:tcBorders>
              <w:top w:val="nil"/>
              <w:left w:val="nil"/>
              <w:bottom w:val="nil"/>
              <w:right w:val="nil"/>
            </w:tcBorders>
            <w:noWrap/>
            <w:vAlign w:val="bottom"/>
            <w:hideMark/>
          </w:tcPr>
          <w:p w14:paraId="3F0CE2F5"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German Federal Ministry for Economic Cooperation and Development</w:t>
            </w:r>
          </w:p>
        </w:tc>
      </w:tr>
      <w:tr w:rsidR="00AE17FA" w:rsidRPr="00AE17FA" w14:paraId="5027460F" w14:textId="77777777" w:rsidTr="00AA1A6D">
        <w:trPr>
          <w:trHeight w:val="300"/>
        </w:trPr>
        <w:tc>
          <w:tcPr>
            <w:tcW w:w="1560" w:type="dxa"/>
            <w:tcBorders>
              <w:top w:val="nil"/>
              <w:left w:val="nil"/>
              <w:bottom w:val="nil"/>
              <w:right w:val="nil"/>
            </w:tcBorders>
            <w:noWrap/>
            <w:vAlign w:val="bottom"/>
            <w:hideMark/>
          </w:tcPr>
          <w:p w14:paraId="7B887AFD" w14:textId="797FCCEA"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C</w:t>
            </w:r>
            <w:r w:rsidR="000C0E1D">
              <w:rPr>
                <w:rFonts w:ascii="Calibri" w:hAnsi="Calibri" w:cs="Calibri"/>
                <w:lang w:bidi="ar-SA"/>
              </w:rPr>
              <w:t>O</w:t>
            </w:r>
            <w:r w:rsidRPr="00AE17FA">
              <w:rPr>
                <w:rFonts w:ascii="Calibri" w:hAnsi="Calibri" w:cs="Calibri"/>
                <w:lang w:bidi="ar-SA"/>
              </w:rPr>
              <w:t>P</w:t>
            </w:r>
          </w:p>
        </w:tc>
        <w:tc>
          <w:tcPr>
            <w:tcW w:w="7371" w:type="dxa"/>
            <w:tcBorders>
              <w:top w:val="nil"/>
              <w:left w:val="nil"/>
              <w:bottom w:val="nil"/>
              <w:right w:val="nil"/>
            </w:tcBorders>
            <w:noWrap/>
            <w:vAlign w:val="bottom"/>
            <w:hideMark/>
          </w:tcPr>
          <w:p w14:paraId="3DE332F9"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Conference of the Parties</w:t>
            </w:r>
          </w:p>
        </w:tc>
      </w:tr>
      <w:tr w:rsidR="00AE17FA" w:rsidRPr="00AE17FA" w14:paraId="38CDBA8F" w14:textId="77777777" w:rsidTr="00AA1A6D">
        <w:trPr>
          <w:trHeight w:val="300"/>
        </w:trPr>
        <w:tc>
          <w:tcPr>
            <w:tcW w:w="1560" w:type="dxa"/>
            <w:tcBorders>
              <w:top w:val="nil"/>
              <w:left w:val="nil"/>
              <w:bottom w:val="nil"/>
              <w:right w:val="nil"/>
            </w:tcBorders>
            <w:noWrap/>
            <w:vAlign w:val="bottom"/>
            <w:hideMark/>
          </w:tcPr>
          <w:p w14:paraId="0DB791DB"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CTF</w:t>
            </w:r>
          </w:p>
        </w:tc>
        <w:tc>
          <w:tcPr>
            <w:tcW w:w="7371" w:type="dxa"/>
            <w:tcBorders>
              <w:top w:val="nil"/>
              <w:left w:val="nil"/>
              <w:bottom w:val="nil"/>
              <w:right w:val="nil"/>
            </w:tcBorders>
            <w:noWrap/>
            <w:vAlign w:val="bottom"/>
            <w:hideMark/>
          </w:tcPr>
          <w:p w14:paraId="56634152"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Conservation Trust Fund</w:t>
            </w:r>
          </w:p>
        </w:tc>
      </w:tr>
      <w:tr w:rsidR="00AE17FA" w:rsidRPr="00AE17FA" w14:paraId="763D6651" w14:textId="77777777" w:rsidTr="00AA1A6D">
        <w:trPr>
          <w:trHeight w:val="300"/>
        </w:trPr>
        <w:tc>
          <w:tcPr>
            <w:tcW w:w="1560" w:type="dxa"/>
            <w:tcBorders>
              <w:top w:val="nil"/>
              <w:left w:val="nil"/>
              <w:bottom w:val="nil"/>
              <w:right w:val="nil"/>
            </w:tcBorders>
            <w:noWrap/>
            <w:vAlign w:val="bottom"/>
            <w:hideMark/>
          </w:tcPr>
          <w:p w14:paraId="477ADCA3"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DBCPA</w:t>
            </w:r>
          </w:p>
        </w:tc>
        <w:tc>
          <w:tcPr>
            <w:tcW w:w="7371" w:type="dxa"/>
            <w:tcBorders>
              <w:top w:val="nil"/>
              <w:left w:val="nil"/>
              <w:bottom w:val="nil"/>
              <w:right w:val="nil"/>
            </w:tcBorders>
            <w:noWrap/>
            <w:vAlign w:val="bottom"/>
            <w:hideMark/>
          </w:tcPr>
          <w:p w14:paraId="4F6F2724"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Department for Biodiversity Conservation and Protected Areas</w:t>
            </w:r>
          </w:p>
        </w:tc>
      </w:tr>
      <w:tr w:rsidR="00AE17FA" w:rsidRPr="00AE17FA" w14:paraId="52879B33" w14:textId="77777777" w:rsidTr="00AA1A6D">
        <w:trPr>
          <w:trHeight w:val="300"/>
        </w:trPr>
        <w:tc>
          <w:tcPr>
            <w:tcW w:w="1560" w:type="dxa"/>
            <w:tcBorders>
              <w:top w:val="nil"/>
              <w:left w:val="nil"/>
              <w:bottom w:val="nil"/>
              <w:right w:val="nil"/>
            </w:tcBorders>
            <w:noWrap/>
            <w:vAlign w:val="bottom"/>
            <w:hideMark/>
          </w:tcPr>
          <w:p w14:paraId="2C8B3441" w14:textId="14C62758" w:rsidR="00AE17FA" w:rsidRPr="00AE17FA" w:rsidRDefault="000C0E1D" w:rsidP="00AE17FA">
            <w:pPr>
              <w:autoSpaceDE/>
              <w:autoSpaceDN/>
              <w:adjustRightInd/>
              <w:spacing w:after="0" w:line="240" w:lineRule="auto"/>
              <w:rPr>
                <w:rFonts w:ascii="Calibri" w:hAnsi="Calibri" w:cs="Calibri"/>
                <w:lang w:bidi="ar-SA"/>
              </w:rPr>
            </w:pPr>
            <w:r>
              <w:rPr>
                <w:rFonts w:ascii="Calibri" w:hAnsi="Calibri" w:cs="Calibri"/>
                <w:lang w:bidi="ar-SA"/>
              </w:rPr>
              <w:t>DfNS</w:t>
            </w:r>
          </w:p>
        </w:tc>
        <w:tc>
          <w:tcPr>
            <w:tcW w:w="7371" w:type="dxa"/>
            <w:tcBorders>
              <w:top w:val="nil"/>
              <w:left w:val="nil"/>
              <w:bottom w:val="nil"/>
              <w:right w:val="nil"/>
            </w:tcBorders>
            <w:noWrap/>
            <w:vAlign w:val="bottom"/>
            <w:hideMark/>
          </w:tcPr>
          <w:p w14:paraId="73605AC8"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Debt-for-Nature Swap</w:t>
            </w:r>
          </w:p>
        </w:tc>
      </w:tr>
      <w:tr w:rsidR="00AE17FA" w:rsidRPr="00AE17FA" w14:paraId="3EE2CB4D" w14:textId="77777777" w:rsidTr="00AA1A6D">
        <w:trPr>
          <w:trHeight w:val="300"/>
        </w:trPr>
        <w:tc>
          <w:tcPr>
            <w:tcW w:w="1560" w:type="dxa"/>
            <w:tcBorders>
              <w:top w:val="nil"/>
              <w:left w:val="nil"/>
              <w:bottom w:val="nil"/>
              <w:right w:val="nil"/>
            </w:tcBorders>
            <w:noWrap/>
            <w:vAlign w:val="bottom"/>
            <w:hideMark/>
          </w:tcPr>
          <w:p w14:paraId="3759C6C6"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EU</w:t>
            </w:r>
          </w:p>
        </w:tc>
        <w:tc>
          <w:tcPr>
            <w:tcW w:w="7371" w:type="dxa"/>
            <w:tcBorders>
              <w:top w:val="nil"/>
              <w:left w:val="nil"/>
              <w:bottom w:val="nil"/>
              <w:right w:val="nil"/>
            </w:tcBorders>
            <w:noWrap/>
            <w:vAlign w:val="bottom"/>
            <w:hideMark/>
          </w:tcPr>
          <w:p w14:paraId="0A2B6C34"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European Union</w:t>
            </w:r>
          </w:p>
        </w:tc>
      </w:tr>
      <w:tr w:rsidR="00F06447" w:rsidRPr="00AE17FA" w14:paraId="5CF2E23D" w14:textId="77777777" w:rsidTr="00AA1A6D">
        <w:trPr>
          <w:trHeight w:val="300"/>
        </w:trPr>
        <w:tc>
          <w:tcPr>
            <w:tcW w:w="1560" w:type="dxa"/>
            <w:tcBorders>
              <w:top w:val="nil"/>
              <w:left w:val="nil"/>
              <w:bottom w:val="nil"/>
              <w:right w:val="nil"/>
            </w:tcBorders>
            <w:noWrap/>
            <w:vAlign w:val="bottom"/>
          </w:tcPr>
          <w:p w14:paraId="6D974B51" w14:textId="7E8E6ABF" w:rsidR="00F06447" w:rsidRPr="00AE17FA" w:rsidRDefault="00F06447" w:rsidP="00AE17FA">
            <w:pPr>
              <w:autoSpaceDE/>
              <w:autoSpaceDN/>
              <w:adjustRightInd/>
              <w:spacing w:after="0" w:line="240" w:lineRule="auto"/>
              <w:rPr>
                <w:rFonts w:ascii="Calibri" w:hAnsi="Calibri" w:cs="Calibri"/>
                <w:lang w:bidi="ar-SA"/>
              </w:rPr>
            </w:pPr>
            <w:r>
              <w:rPr>
                <w:rFonts w:ascii="Calibri" w:hAnsi="Calibri" w:cs="Calibri"/>
                <w:lang w:bidi="ar-SA"/>
              </w:rPr>
              <w:t>ESG</w:t>
            </w:r>
          </w:p>
        </w:tc>
        <w:tc>
          <w:tcPr>
            <w:tcW w:w="7371" w:type="dxa"/>
            <w:tcBorders>
              <w:top w:val="nil"/>
              <w:left w:val="nil"/>
              <w:bottom w:val="nil"/>
              <w:right w:val="nil"/>
            </w:tcBorders>
            <w:noWrap/>
            <w:vAlign w:val="bottom"/>
          </w:tcPr>
          <w:p w14:paraId="60314362" w14:textId="4BF3983A" w:rsidR="00F06447" w:rsidRPr="00AE17FA" w:rsidRDefault="00F06447" w:rsidP="00AE17FA">
            <w:pPr>
              <w:autoSpaceDE/>
              <w:autoSpaceDN/>
              <w:adjustRightInd/>
              <w:spacing w:after="0" w:line="240" w:lineRule="auto"/>
              <w:rPr>
                <w:rFonts w:ascii="Calibri" w:hAnsi="Calibri" w:cs="Calibri"/>
                <w:lang w:bidi="ar-SA"/>
              </w:rPr>
            </w:pPr>
            <w:r>
              <w:rPr>
                <w:rFonts w:ascii="Calibri" w:hAnsi="Calibri" w:cs="Calibri"/>
                <w:lang w:bidi="ar-SA"/>
              </w:rPr>
              <w:t>Environment, Social and Governance</w:t>
            </w:r>
          </w:p>
        </w:tc>
      </w:tr>
      <w:tr w:rsidR="00AE17FA" w:rsidRPr="00AE17FA" w14:paraId="1F0D1D43" w14:textId="77777777" w:rsidTr="00AA1A6D">
        <w:trPr>
          <w:trHeight w:val="300"/>
        </w:trPr>
        <w:tc>
          <w:tcPr>
            <w:tcW w:w="1560" w:type="dxa"/>
            <w:tcBorders>
              <w:top w:val="nil"/>
              <w:left w:val="nil"/>
              <w:bottom w:val="nil"/>
              <w:right w:val="nil"/>
            </w:tcBorders>
            <w:noWrap/>
            <w:vAlign w:val="bottom"/>
            <w:hideMark/>
          </w:tcPr>
          <w:p w14:paraId="1D9E1C98"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FS</w:t>
            </w:r>
          </w:p>
        </w:tc>
        <w:tc>
          <w:tcPr>
            <w:tcW w:w="7371" w:type="dxa"/>
            <w:tcBorders>
              <w:top w:val="nil"/>
              <w:left w:val="nil"/>
              <w:bottom w:val="nil"/>
              <w:right w:val="nil"/>
            </w:tcBorders>
            <w:noWrap/>
            <w:vAlign w:val="bottom"/>
            <w:hideMark/>
          </w:tcPr>
          <w:p w14:paraId="55BBC1F8"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Financial Solution</w:t>
            </w:r>
          </w:p>
        </w:tc>
      </w:tr>
      <w:tr w:rsidR="000C0E1D" w:rsidRPr="00AE17FA" w14:paraId="6868A759" w14:textId="77777777" w:rsidTr="00AA1A6D">
        <w:trPr>
          <w:trHeight w:val="300"/>
        </w:trPr>
        <w:tc>
          <w:tcPr>
            <w:tcW w:w="1560" w:type="dxa"/>
            <w:tcBorders>
              <w:top w:val="nil"/>
              <w:left w:val="nil"/>
              <w:bottom w:val="nil"/>
              <w:right w:val="nil"/>
            </w:tcBorders>
            <w:noWrap/>
            <w:vAlign w:val="bottom"/>
          </w:tcPr>
          <w:p w14:paraId="71863F3A" w14:textId="32825B3A" w:rsidR="000C0E1D" w:rsidRPr="00AE17FA" w:rsidRDefault="000C0E1D" w:rsidP="00AE17FA">
            <w:pPr>
              <w:autoSpaceDE/>
              <w:autoSpaceDN/>
              <w:adjustRightInd/>
              <w:spacing w:after="0" w:line="240" w:lineRule="auto"/>
              <w:rPr>
                <w:rFonts w:ascii="Calibri" w:hAnsi="Calibri" w:cs="Calibri"/>
                <w:lang w:bidi="ar-SA"/>
              </w:rPr>
            </w:pPr>
            <w:r>
              <w:rPr>
                <w:rFonts w:ascii="Calibri" w:hAnsi="Calibri" w:cs="Calibri"/>
                <w:lang w:bidi="ar-SA"/>
              </w:rPr>
              <w:t>FS</w:t>
            </w:r>
          </w:p>
        </w:tc>
        <w:tc>
          <w:tcPr>
            <w:tcW w:w="7371" w:type="dxa"/>
            <w:tcBorders>
              <w:top w:val="nil"/>
              <w:left w:val="nil"/>
              <w:bottom w:val="nil"/>
              <w:right w:val="nil"/>
            </w:tcBorders>
            <w:noWrap/>
            <w:vAlign w:val="bottom"/>
          </w:tcPr>
          <w:p w14:paraId="46348895" w14:textId="2EEEF864" w:rsidR="000C0E1D" w:rsidRPr="00AE17FA" w:rsidRDefault="000C0E1D" w:rsidP="00AE17FA">
            <w:pPr>
              <w:autoSpaceDE/>
              <w:autoSpaceDN/>
              <w:adjustRightInd/>
              <w:spacing w:after="0" w:line="240" w:lineRule="auto"/>
              <w:rPr>
                <w:rFonts w:ascii="Calibri" w:hAnsi="Calibri" w:cs="Calibri"/>
                <w:lang w:bidi="ar-SA"/>
              </w:rPr>
            </w:pPr>
            <w:r>
              <w:rPr>
                <w:rFonts w:ascii="Calibri" w:hAnsi="Calibri" w:cs="Calibri"/>
                <w:lang w:bidi="ar-SA"/>
              </w:rPr>
              <w:t>Forest Service</w:t>
            </w:r>
          </w:p>
        </w:tc>
      </w:tr>
      <w:tr w:rsidR="00AE17FA" w:rsidRPr="00AE17FA" w14:paraId="6A8B3E55" w14:textId="77777777" w:rsidTr="00AA1A6D">
        <w:trPr>
          <w:trHeight w:val="300"/>
        </w:trPr>
        <w:tc>
          <w:tcPr>
            <w:tcW w:w="1560" w:type="dxa"/>
            <w:tcBorders>
              <w:top w:val="nil"/>
              <w:left w:val="nil"/>
              <w:bottom w:val="nil"/>
              <w:right w:val="nil"/>
            </w:tcBorders>
            <w:noWrap/>
            <w:vAlign w:val="bottom"/>
            <w:hideMark/>
          </w:tcPr>
          <w:p w14:paraId="552868D5"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FNA</w:t>
            </w:r>
          </w:p>
        </w:tc>
        <w:tc>
          <w:tcPr>
            <w:tcW w:w="7371" w:type="dxa"/>
            <w:tcBorders>
              <w:top w:val="nil"/>
              <w:left w:val="nil"/>
              <w:bottom w:val="nil"/>
              <w:right w:val="nil"/>
            </w:tcBorders>
            <w:noWrap/>
            <w:vAlign w:val="bottom"/>
            <w:hideMark/>
          </w:tcPr>
          <w:p w14:paraId="0A4A96E3"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Financial Needs Assessment</w:t>
            </w:r>
          </w:p>
        </w:tc>
      </w:tr>
      <w:tr w:rsidR="00AE17FA" w:rsidRPr="00AE17FA" w14:paraId="600FA817" w14:textId="77777777" w:rsidTr="00AA1A6D">
        <w:trPr>
          <w:trHeight w:val="300"/>
        </w:trPr>
        <w:tc>
          <w:tcPr>
            <w:tcW w:w="1560" w:type="dxa"/>
            <w:tcBorders>
              <w:top w:val="nil"/>
              <w:left w:val="nil"/>
              <w:bottom w:val="nil"/>
              <w:right w:val="nil"/>
            </w:tcBorders>
            <w:noWrap/>
            <w:vAlign w:val="bottom"/>
            <w:hideMark/>
          </w:tcPr>
          <w:p w14:paraId="7AE321BC"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FE</w:t>
            </w:r>
          </w:p>
        </w:tc>
        <w:tc>
          <w:tcPr>
            <w:tcW w:w="7371" w:type="dxa"/>
            <w:tcBorders>
              <w:top w:val="nil"/>
              <w:left w:val="nil"/>
              <w:bottom w:val="nil"/>
              <w:right w:val="nil"/>
            </w:tcBorders>
            <w:noWrap/>
            <w:vAlign w:val="bottom"/>
            <w:hideMark/>
          </w:tcPr>
          <w:p w14:paraId="769227D9"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Forestry Enterprise</w:t>
            </w:r>
          </w:p>
        </w:tc>
      </w:tr>
      <w:tr w:rsidR="00AE17FA" w:rsidRPr="00AE17FA" w14:paraId="0C1AE82D" w14:textId="77777777" w:rsidTr="00AA1A6D">
        <w:trPr>
          <w:trHeight w:val="300"/>
        </w:trPr>
        <w:tc>
          <w:tcPr>
            <w:tcW w:w="1560" w:type="dxa"/>
            <w:tcBorders>
              <w:top w:val="nil"/>
              <w:left w:val="nil"/>
              <w:bottom w:val="nil"/>
              <w:right w:val="nil"/>
            </w:tcBorders>
            <w:noWrap/>
            <w:vAlign w:val="bottom"/>
            <w:hideMark/>
          </w:tcPr>
          <w:p w14:paraId="53B068B9" w14:textId="6000EF1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K</w:t>
            </w:r>
            <w:r w:rsidR="000C0E1D">
              <w:rPr>
                <w:rFonts w:ascii="Calibri" w:hAnsi="Calibri" w:cs="Calibri"/>
                <w:lang w:bidi="ar-SA"/>
              </w:rPr>
              <w:t>G</w:t>
            </w:r>
            <w:r w:rsidRPr="00AE17FA">
              <w:rPr>
                <w:rFonts w:ascii="Calibri" w:hAnsi="Calibri" w:cs="Calibri"/>
                <w:lang w:bidi="ar-SA"/>
              </w:rPr>
              <w:t>S</w:t>
            </w:r>
          </w:p>
        </w:tc>
        <w:tc>
          <w:tcPr>
            <w:tcW w:w="7371" w:type="dxa"/>
            <w:tcBorders>
              <w:top w:val="nil"/>
              <w:left w:val="nil"/>
              <w:bottom w:val="nil"/>
              <w:right w:val="nil"/>
            </w:tcBorders>
            <w:noWrap/>
            <w:vAlign w:val="bottom"/>
            <w:hideMark/>
          </w:tcPr>
          <w:p w14:paraId="31AE7067" w14:textId="20BBCF00"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Kyrgyzstan Som</w:t>
            </w:r>
          </w:p>
        </w:tc>
      </w:tr>
      <w:tr w:rsidR="00AE17FA" w:rsidRPr="00AE17FA" w14:paraId="3EDE3BBC" w14:textId="77777777" w:rsidTr="00AA1A6D">
        <w:trPr>
          <w:trHeight w:val="300"/>
        </w:trPr>
        <w:tc>
          <w:tcPr>
            <w:tcW w:w="1560" w:type="dxa"/>
            <w:tcBorders>
              <w:top w:val="nil"/>
              <w:left w:val="nil"/>
              <w:bottom w:val="nil"/>
              <w:right w:val="nil"/>
            </w:tcBorders>
            <w:noWrap/>
            <w:vAlign w:val="bottom"/>
            <w:hideMark/>
          </w:tcPr>
          <w:p w14:paraId="7F49C822"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KR</w:t>
            </w:r>
          </w:p>
        </w:tc>
        <w:tc>
          <w:tcPr>
            <w:tcW w:w="7371" w:type="dxa"/>
            <w:tcBorders>
              <w:top w:val="nil"/>
              <w:left w:val="nil"/>
              <w:bottom w:val="nil"/>
              <w:right w:val="nil"/>
            </w:tcBorders>
            <w:noWrap/>
            <w:vAlign w:val="bottom"/>
            <w:hideMark/>
          </w:tcPr>
          <w:p w14:paraId="4C8FAC9F"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Kyrgyz Republic</w:t>
            </w:r>
          </w:p>
        </w:tc>
      </w:tr>
      <w:tr w:rsidR="00AE17FA" w:rsidRPr="00AE17FA" w14:paraId="41162CC1" w14:textId="77777777" w:rsidTr="00AA1A6D">
        <w:trPr>
          <w:trHeight w:val="300"/>
        </w:trPr>
        <w:tc>
          <w:tcPr>
            <w:tcW w:w="1560" w:type="dxa"/>
            <w:tcBorders>
              <w:top w:val="nil"/>
              <w:left w:val="nil"/>
              <w:bottom w:val="nil"/>
              <w:right w:val="nil"/>
            </w:tcBorders>
            <w:noWrap/>
            <w:vAlign w:val="bottom"/>
            <w:hideMark/>
          </w:tcPr>
          <w:p w14:paraId="6EA66B51"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MPTF</w:t>
            </w:r>
          </w:p>
        </w:tc>
        <w:tc>
          <w:tcPr>
            <w:tcW w:w="7371" w:type="dxa"/>
            <w:tcBorders>
              <w:top w:val="nil"/>
              <w:left w:val="nil"/>
              <w:bottom w:val="nil"/>
              <w:right w:val="nil"/>
            </w:tcBorders>
            <w:noWrap/>
            <w:vAlign w:val="bottom"/>
            <w:hideMark/>
          </w:tcPr>
          <w:p w14:paraId="01700255"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Multi-Partner Trust Fund</w:t>
            </w:r>
          </w:p>
        </w:tc>
      </w:tr>
      <w:tr w:rsidR="00D13DAB" w:rsidRPr="00AE17FA" w14:paraId="2D43AF69" w14:textId="77777777" w:rsidTr="00AA1A6D">
        <w:trPr>
          <w:trHeight w:val="300"/>
        </w:trPr>
        <w:tc>
          <w:tcPr>
            <w:tcW w:w="1560" w:type="dxa"/>
            <w:tcBorders>
              <w:top w:val="nil"/>
              <w:left w:val="nil"/>
              <w:bottom w:val="nil"/>
              <w:right w:val="nil"/>
            </w:tcBorders>
            <w:noWrap/>
            <w:vAlign w:val="bottom"/>
          </w:tcPr>
          <w:p w14:paraId="5B1CBF9F" w14:textId="5DF507EA" w:rsidR="00D13DAB" w:rsidRPr="00AE17FA" w:rsidRDefault="00D13DAB" w:rsidP="00AE17FA">
            <w:pPr>
              <w:autoSpaceDE/>
              <w:autoSpaceDN/>
              <w:adjustRightInd/>
              <w:spacing w:after="0" w:line="240" w:lineRule="auto"/>
              <w:rPr>
                <w:rFonts w:ascii="Calibri" w:hAnsi="Calibri" w:cs="Calibri"/>
                <w:lang w:bidi="ar-SA"/>
              </w:rPr>
            </w:pPr>
            <w:r>
              <w:rPr>
                <w:rFonts w:ascii="Calibri" w:hAnsi="Calibri" w:cs="Calibri"/>
                <w:lang w:bidi="ar-SA"/>
              </w:rPr>
              <w:t>M&amp;E</w:t>
            </w:r>
          </w:p>
        </w:tc>
        <w:tc>
          <w:tcPr>
            <w:tcW w:w="7371" w:type="dxa"/>
            <w:tcBorders>
              <w:top w:val="nil"/>
              <w:left w:val="nil"/>
              <w:bottom w:val="nil"/>
              <w:right w:val="nil"/>
            </w:tcBorders>
            <w:noWrap/>
            <w:vAlign w:val="bottom"/>
          </w:tcPr>
          <w:p w14:paraId="78F01432" w14:textId="77777777" w:rsidR="00D13DAB" w:rsidRPr="00AE17FA" w:rsidRDefault="00D13DAB" w:rsidP="00AE17FA">
            <w:pPr>
              <w:autoSpaceDE/>
              <w:autoSpaceDN/>
              <w:adjustRightInd/>
              <w:spacing w:after="0" w:line="240" w:lineRule="auto"/>
              <w:rPr>
                <w:rFonts w:ascii="Calibri" w:hAnsi="Calibri" w:cs="Calibri"/>
                <w:lang w:bidi="ar-SA"/>
              </w:rPr>
            </w:pPr>
            <w:r>
              <w:rPr>
                <w:rFonts w:ascii="Calibri" w:hAnsi="Calibri" w:cs="Calibri"/>
                <w:lang w:bidi="ar-SA"/>
              </w:rPr>
              <w:t>Monitoring and Evaluation</w:t>
            </w:r>
          </w:p>
        </w:tc>
      </w:tr>
      <w:tr w:rsidR="00F06447" w:rsidRPr="00AE17FA" w14:paraId="74802A17" w14:textId="77777777" w:rsidTr="00AA1A6D">
        <w:trPr>
          <w:trHeight w:val="300"/>
        </w:trPr>
        <w:tc>
          <w:tcPr>
            <w:tcW w:w="1560" w:type="dxa"/>
            <w:tcBorders>
              <w:top w:val="nil"/>
              <w:left w:val="nil"/>
              <w:bottom w:val="nil"/>
              <w:right w:val="nil"/>
            </w:tcBorders>
            <w:noWrap/>
            <w:vAlign w:val="bottom"/>
          </w:tcPr>
          <w:p w14:paraId="331284AC" w14:textId="302879CE" w:rsidR="00F06447" w:rsidRDefault="00F06447" w:rsidP="00AE17FA">
            <w:pPr>
              <w:autoSpaceDE/>
              <w:autoSpaceDN/>
              <w:adjustRightInd/>
              <w:spacing w:after="0" w:line="240" w:lineRule="auto"/>
              <w:rPr>
                <w:rFonts w:ascii="Calibri" w:hAnsi="Calibri" w:cs="Calibri"/>
                <w:lang w:bidi="ar-SA"/>
              </w:rPr>
            </w:pPr>
            <w:r>
              <w:rPr>
                <w:rFonts w:ascii="Calibri" w:hAnsi="Calibri" w:cs="Calibri"/>
                <w:lang w:bidi="ar-SA"/>
              </w:rPr>
              <w:t>NBKR</w:t>
            </w:r>
          </w:p>
        </w:tc>
        <w:tc>
          <w:tcPr>
            <w:tcW w:w="7371" w:type="dxa"/>
            <w:tcBorders>
              <w:top w:val="nil"/>
              <w:left w:val="nil"/>
              <w:bottom w:val="nil"/>
              <w:right w:val="nil"/>
            </w:tcBorders>
            <w:noWrap/>
            <w:vAlign w:val="bottom"/>
          </w:tcPr>
          <w:p w14:paraId="687891D9" w14:textId="671A9C51" w:rsidR="00F06447" w:rsidRDefault="00F06447" w:rsidP="00AE17FA">
            <w:pPr>
              <w:autoSpaceDE/>
              <w:autoSpaceDN/>
              <w:adjustRightInd/>
              <w:spacing w:after="0" w:line="240" w:lineRule="auto"/>
              <w:rPr>
                <w:rFonts w:ascii="Calibri" w:hAnsi="Calibri" w:cs="Calibri"/>
                <w:lang w:bidi="ar-SA"/>
              </w:rPr>
            </w:pPr>
            <w:r>
              <w:rPr>
                <w:rFonts w:ascii="Calibri" w:hAnsi="Calibri" w:cs="Calibri"/>
                <w:lang w:bidi="ar-SA"/>
              </w:rPr>
              <w:t>National Bank of the Kyrgyz Republic</w:t>
            </w:r>
          </w:p>
        </w:tc>
      </w:tr>
      <w:tr w:rsidR="00AE17FA" w:rsidRPr="00AE17FA" w14:paraId="04F5FA15" w14:textId="77777777" w:rsidTr="00AA1A6D">
        <w:trPr>
          <w:trHeight w:val="300"/>
        </w:trPr>
        <w:tc>
          <w:tcPr>
            <w:tcW w:w="1560" w:type="dxa"/>
            <w:tcBorders>
              <w:top w:val="nil"/>
              <w:left w:val="nil"/>
              <w:bottom w:val="nil"/>
              <w:right w:val="nil"/>
            </w:tcBorders>
            <w:noWrap/>
            <w:vAlign w:val="bottom"/>
            <w:hideMark/>
          </w:tcPr>
          <w:p w14:paraId="0ABFB299"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NGO</w:t>
            </w:r>
          </w:p>
        </w:tc>
        <w:tc>
          <w:tcPr>
            <w:tcW w:w="7371" w:type="dxa"/>
            <w:tcBorders>
              <w:top w:val="nil"/>
              <w:left w:val="nil"/>
              <w:bottom w:val="nil"/>
              <w:right w:val="nil"/>
            </w:tcBorders>
            <w:noWrap/>
            <w:vAlign w:val="bottom"/>
            <w:hideMark/>
          </w:tcPr>
          <w:p w14:paraId="77334549"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Non-Governmental Organization</w:t>
            </w:r>
          </w:p>
        </w:tc>
      </w:tr>
      <w:tr w:rsidR="00AE17FA" w:rsidRPr="00AE17FA" w14:paraId="55AD416C" w14:textId="77777777" w:rsidTr="00AA1A6D">
        <w:trPr>
          <w:trHeight w:val="300"/>
        </w:trPr>
        <w:tc>
          <w:tcPr>
            <w:tcW w:w="1560" w:type="dxa"/>
            <w:tcBorders>
              <w:top w:val="nil"/>
              <w:left w:val="nil"/>
              <w:bottom w:val="nil"/>
              <w:right w:val="nil"/>
            </w:tcBorders>
            <w:noWrap/>
            <w:vAlign w:val="bottom"/>
            <w:hideMark/>
          </w:tcPr>
          <w:p w14:paraId="6B87B525"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NBSAP</w:t>
            </w:r>
          </w:p>
        </w:tc>
        <w:tc>
          <w:tcPr>
            <w:tcW w:w="7371" w:type="dxa"/>
            <w:tcBorders>
              <w:top w:val="nil"/>
              <w:left w:val="nil"/>
              <w:bottom w:val="nil"/>
              <w:right w:val="nil"/>
            </w:tcBorders>
            <w:noWrap/>
            <w:vAlign w:val="bottom"/>
            <w:hideMark/>
          </w:tcPr>
          <w:p w14:paraId="503D2B26"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National Biodiversity Strategy and Action Plan</w:t>
            </w:r>
          </w:p>
        </w:tc>
      </w:tr>
      <w:tr w:rsidR="00AE17FA" w:rsidRPr="00AE17FA" w14:paraId="187E368B" w14:textId="77777777" w:rsidTr="00AA1A6D">
        <w:trPr>
          <w:trHeight w:val="300"/>
        </w:trPr>
        <w:tc>
          <w:tcPr>
            <w:tcW w:w="1560" w:type="dxa"/>
            <w:tcBorders>
              <w:top w:val="nil"/>
              <w:left w:val="nil"/>
              <w:bottom w:val="nil"/>
              <w:right w:val="nil"/>
            </w:tcBorders>
            <w:noWrap/>
            <w:vAlign w:val="bottom"/>
            <w:hideMark/>
          </w:tcPr>
          <w:p w14:paraId="72B3A64C"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PA</w:t>
            </w:r>
          </w:p>
        </w:tc>
        <w:tc>
          <w:tcPr>
            <w:tcW w:w="7371" w:type="dxa"/>
            <w:tcBorders>
              <w:top w:val="nil"/>
              <w:left w:val="nil"/>
              <w:bottom w:val="nil"/>
              <w:right w:val="nil"/>
            </w:tcBorders>
            <w:noWrap/>
            <w:vAlign w:val="bottom"/>
            <w:hideMark/>
          </w:tcPr>
          <w:p w14:paraId="70FF982F"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Protected Area</w:t>
            </w:r>
          </w:p>
        </w:tc>
      </w:tr>
      <w:tr w:rsidR="00AE17FA" w:rsidRPr="00AE17FA" w14:paraId="7A522B67" w14:textId="77777777" w:rsidTr="00AA1A6D">
        <w:trPr>
          <w:trHeight w:val="300"/>
        </w:trPr>
        <w:tc>
          <w:tcPr>
            <w:tcW w:w="1560" w:type="dxa"/>
            <w:tcBorders>
              <w:top w:val="nil"/>
              <w:left w:val="nil"/>
              <w:bottom w:val="nil"/>
              <w:right w:val="nil"/>
            </w:tcBorders>
            <w:noWrap/>
            <w:vAlign w:val="bottom"/>
            <w:hideMark/>
          </w:tcPr>
          <w:p w14:paraId="3CFF2287"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PIR</w:t>
            </w:r>
          </w:p>
        </w:tc>
        <w:tc>
          <w:tcPr>
            <w:tcW w:w="7371" w:type="dxa"/>
            <w:tcBorders>
              <w:top w:val="nil"/>
              <w:left w:val="nil"/>
              <w:bottom w:val="nil"/>
              <w:right w:val="nil"/>
            </w:tcBorders>
            <w:noWrap/>
            <w:vAlign w:val="bottom"/>
            <w:hideMark/>
          </w:tcPr>
          <w:p w14:paraId="22DC5914"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Policy and Institutional Review</w:t>
            </w:r>
          </w:p>
        </w:tc>
      </w:tr>
      <w:tr w:rsidR="00AE17FA" w:rsidRPr="00AE17FA" w14:paraId="3B58B292" w14:textId="77777777" w:rsidTr="00AA1A6D">
        <w:trPr>
          <w:trHeight w:val="300"/>
        </w:trPr>
        <w:tc>
          <w:tcPr>
            <w:tcW w:w="1560" w:type="dxa"/>
            <w:tcBorders>
              <w:top w:val="nil"/>
              <w:left w:val="nil"/>
              <w:bottom w:val="nil"/>
              <w:right w:val="nil"/>
            </w:tcBorders>
            <w:noWrap/>
            <w:vAlign w:val="bottom"/>
            <w:hideMark/>
          </w:tcPr>
          <w:p w14:paraId="3D581823"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RBB</w:t>
            </w:r>
          </w:p>
        </w:tc>
        <w:tc>
          <w:tcPr>
            <w:tcW w:w="7371" w:type="dxa"/>
            <w:tcBorders>
              <w:top w:val="nil"/>
              <w:left w:val="nil"/>
              <w:bottom w:val="nil"/>
              <w:right w:val="nil"/>
            </w:tcBorders>
            <w:noWrap/>
            <w:vAlign w:val="bottom"/>
            <w:hideMark/>
          </w:tcPr>
          <w:p w14:paraId="77A2CB28"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Results-Based Budgeting</w:t>
            </w:r>
          </w:p>
        </w:tc>
      </w:tr>
      <w:tr w:rsidR="00AE17FA" w:rsidRPr="00AE17FA" w14:paraId="7639F5D7" w14:textId="77777777" w:rsidTr="00AA1A6D">
        <w:trPr>
          <w:trHeight w:val="300"/>
        </w:trPr>
        <w:tc>
          <w:tcPr>
            <w:tcW w:w="1560" w:type="dxa"/>
            <w:tcBorders>
              <w:top w:val="nil"/>
              <w:left w:val="nil"/>
              <w:bottom w:val="nil"/>
              <w:right w:val="nil"/>
            </w:tcBorders>
            <w:noWrap/>
            <w:vAlign w:val="bottom"/>
            <w:hideMark/>
          </w:tcPr>
          <w:p w14:paraId="54C75A63"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SESP</w:t>
            </w:r>
          </w:p>
        </w:tc>
        <w:tc>
          <w:tcPr>
            <w:tcW w:w="7371" w:type="dxa"/>
            <w:tcBorders>
              <w:top w:val="nil"/>
              <w:left w:val="nil"/>
              <w:bottom w:val="nil"/>
              <w:right w:val="nil"/>
            </w:tcBorders>
            <w:noWrap/>
            <w:vAlign w:val="bottom"/>
            <w:hideMark/>
          </w:tcPr>
          <w:p w14:paraId="7EE36F83"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Social and Environmental Sustainability Programming</w:t>
            </w:r>
          </w:p>
        </w:tc>
      </w:tr>
      <w:tr w:rsidR="004C4651" w:rsidRPr="00AE17FA" w14:paraId="0CEE5B1F" w14:textId="77777777" w:rsidTr="00AA1A6D">
        <w:trPr>
          <w:trHeight w:val="300"/>
        </w:trPr>
        <w:tc>
          <w:tcPr>
            <w:tcW w:w="1560" w:type="dxa"/>
            <w:tcBorders>
              <w:top w:val="nil"/>
              <w:left w:val="nil"/>
              <w:bottom w:val="nil"/>
              <w:right w:val="nil"/>
            </w:tcBorders>
            <w:noWrap/>
            <w:vAlign w:val="bottom"/>
          </w:tcPr>
          <w:p w14:paraId="2781FCD2" w14:textId="3F83349E" w:rsidR="004C4651" w:rsidRPr="00AE17FA" w:rsidRDefault="004C4651" w:rsidP="00AE17FA">
            <w:pPr>
              <w:autoSpaceDE/>
              <w:autoSpaceDN/>
              <w:adjustRightInd/>
              <w:spacing w:after="0" w:line="240" w:lineRule="auto"/>
              <w:rPr>
                <w:rFonts w:ascii="Calibri" w:hAnsi="Calibri" w:cs="Calibri"/>
                <w:lang w:bidi="ar-SA"/>
              </w:rPr>
            </w:pPr>
            <w:r>
              <w:rPr>
                <w:rFonts w:ascii="Calibri" w:hAnsi="Calibri" w:cs="Calibri"/>
                <w:lang w:bidi="ar-SA"/>
              </w:rPr>
              <w:t>ToC</w:t>
            </w:r>
          </w:p>
        </w:tc>
        <w:tc>
          <w:tcPr>
            <w:tcW w:w="7371" w:type="dxa"/>
            <w:tcBorders>
              <w:top w:val="nil"/>
              <w:left w:val="nil"/>
              <w:bottom w:val="nil"/>
              <w:right w:val="nil"/>
            </w:tcBorders>
            <w:noWrap/>
            <w:vAlign w:val="bottom"/>
          </w:tcPr>
          <w:p w14:paraId="40CCD403" w14:textId="68088ECA" w:rsidR="004C4651" w:rsidRPr="00AE17FA" w:rsidRDefault="004C4651" w:rsidP="00AE17FA">
            <w:pPr>
              <w:autoSpaceDE/>
              <w:autoSpaceDN/>
              <w:adjustRightInd/>
              <w:spacing w:after="0" w:line="240" w:lineRule="auto"/>
              <w:rPr>
                <w:rFonts w:ascii="Calibri" w:hAnsi="Calibri" w:cs="Calibri"/>
                <w:lang w:bidi="ar-SA"/>
              </w:rPr>
            </w:pPr>
            <w:r>
              <w:rPr>
                <w:rFonts w:ascii="Calibri" w:hAnsi="Calibri" w:cs="Calibri"/>
                <w:lang w:bidi="ar-SA"/>
              </w:rPr>
              <w:t>Theory of Change</w:t>
            </w:r>
          </w:p>
        </w:tc>
      </w:tr>
      <w:tr w:rsidR="00AE17FA" w:rsidRPr="00AE17FA" w14:paraId="5054482A" w14:textId="77777777" w:rsidTr="00AA1A6D">
        <w:trPr>
          <w:trHeight w:val="300"/>
        </w:trPr>
        <w:tc>
          <w:tcPr>
            <w:tcW w:w="1560" w:type="dxa"/>
            <w:tcBorders>
              <w:top w:val="nil"/>
              <w:left w:val="nil"/>
              <w:bottom w:val="nil"/>
              <w:right w:val="nil"/>
            </w:tcBorders>
            <w:noWrap/>
            <w:vAlign w:val="bottom"/>
            <w:hideMark/>
          </w:tcPr>
          <w:p w14:paraId="28991FAF" w14:textId="544C4DBC" w:rsidR="00AE17FA" w:rsidRPr="00AE17FA" w:rsidRDefault="000C0E1D" w:rsidP="00AE17FA">
            <w:pPr>
              <w:autoSpaceDE/>
              <w:autoSpaceDN/>
              <w:adjustRightInd/>
              <w:spacing w:after="0" w:line="240" w:lineRule="auto"/>
              <w:rPr>
                <w:rFonts w:ascii="Calibri" w:hAnsi="Calibri" w:cs="Calibri"/>
                <w:lang w:bidi="ar-SA"/>
              </w:rPr>
            </w:pPr>
            <w:r>
              <w:rPr>
                <w:rFonts w:ascii="Calibri" w:hAnsi="Calibri" w:cs="Calibri"/>
                <w:lang w:bidi="ar-SA"/>
              </w:rPr>
              <w:t>ToR</w:t>
            </w:r>
          </w:p>
        </w:tc>
        <w:tc>
          <w:tcPr>
            <w:tcW w:w="7371" w:type="dxa"/>
            <w:tcBorders>
              <w:top w:val="nil"/>
              <w:left w:val="nil"/>
              <w:bottom w:val="nil"/>
              <w:right w:val="nil"/>
            </w:tcBorders>
            <w:noWrap/>
            <w:vAlign w:val="bottom"/>
            <w:hideMark/>
          </w:tcPr>
          <w:p w14:paraId="156149AE"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Terms of Reference</w:t>
            </w:r>
          </w:p>
        </w:tc>
      </w:tr>
      <w:tr w:rsidR="00AE17FA" w:rsidRPr="00AE17FA" w14:paraId="4A017C82" w14:textId="77777777" w:rsidTr="00AA1A6D">
        <w:trPr>
          <w:trHeight w:val="300"/>
        </w:trPr>
        <w:tc>
          <w:tcPr>
            <w:tcW w:w="1560" w:type="dxa"/>
            <w:tcBorders>
              <w:top w:val="nil"/>
              <w:left w:val="nil"/>
              <w:bottom w:val="nil"/>
              <w:right w:val="nil"/>
            </w:tcBorders>
            <w:noWrap/>
            <w:vAlign w:val="bottom"/>
            <w:hideMark/>
          </w:tcPr>
          <w:p w14:paraId="4C6156B0"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UK</w:t>
            </w:r>
          </w:p>
        </w:tc>
        <w:tc>
          <w:tcPr>
            <w:tcW w:w="7371" w:type="dxa"/>
            <w:tcBorders>
              <w:top w:val="nil"/>
              <w:left w:val="nil"/>
              <w:bottom w:val="nil"/>
              <w:right w:val="nil"/>
            </w:tcBorders>
            <w:noWrap/>
            <w:vAlign w:val="bottom"/>
            <w:hideMark/>
          </w:tcPr>
          <w:p w14:paraId="4D477933"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United Kingdom</w:t>
            </w:r>
          </w:p>
        </w:tc>
      </w:tr>
      <w:tr w:rsidR="00494BA0" w:rsidRPr="00AE17FA" w14:paraId="1F185E35" w14:textId="77777777" w:rsidTr="00AA1A6D">
        <w:trPr>
          <w:trHeight w:val="300"/>
        </w:trPr>
        <w:tc>
          <w:tcPr>
            <w:tcW w:w="1560" w:type="dxa"/>
            <w:tcBorders>
              <w:top w:val="nil"/>
              <w:left w:val="nil"/>
              <w:bottom w:val="nil"/>
              <w:right w:val="nil"/>
            </w:tcBorders>
            <w:noWrap/>
            <w:vAlign w:val="bottom"/>
          </w:tcPr>
          <w:p w14:paraId="06C7265E" w14:textId="0E037D07" w:rsidR="00494BA0" w:rsidRPr="00AE17FA" w:rsidRDefault="00494BA0" w:rsidP="00AE17FA">
            <w:pPr>
              <w:autoSpaceDE/>
              <w:autoSpaceDN/>
              <w:adjustRightInd/>
              <w:spacing w:after="0" w:line="240" w:lineRule="auto"/>
              <w:rPr>
                <w:rFonts w:ascii="Calibri" w:hAnsi="Calibri" w:cs="Calibri"/>
                <w:lang w:bidi="ar-SA"/>
              </w:rPr>
            </w:pPr>
            <w:r>
              <w:rPr>
                <w:rFonts w:ascii="Calibri" w:hAnsi="Calibri" w:cs="Calibri"/>
                <w:lang w:bidi="ar-SA"/>
              </w:rPr>
              <w:t>UN</w:t>
            </w:r>
          </w:p>
        </w:tc>
        <w:tc>
          <w:tcPr>
            <w:tcW w:w="7371" w:type="dxa"/>
            <w:tcBorders>
              <w:top w:val="nil"/>
              <w:left w:val="nil"/>
              <w:bottom w:val="nil"/>
              <w:right w:val="nil"/>
            </w:tcBorders>
            <w:noWrap/>
            <w:vAlign w:val="bottom"/>
          </w:tcPr>
          <w:p w14:paraId="21178A10" w14:textId="623BC9CD" w:rsidR="00494BA0" w:rsidRPr="00AE17FA" w:rsidRDefault="00494BA0" w:rsidP="00AE17FA">
            <w:pPr>
              <w:autoSpaceDE/>
              <w:autoSpaceDN/>
              <w:adjustRightInd/>
              <w:spacing w:after="0" w:line="240" w:lineRule="auto"/>
              <w:rPr>
                <w:rFonts w:ascii="Calibri" w:hAnsi="Calibri" w:cs="Calibri"/>
                <w:lang w:bidi="ar-SA"/>
              </w:rPr>
            </w:pPr>
            <w:r>
              <w:rPr>
                <w:rFonts w:ascii="Calibri" w:hAnsi="Calibri" w:cs="Calibri"/>
                <w:lang w:bidi="ar-SA"/>
              </w:rPr>
              <w:t>United Nations</w:t>
            </w:r>
          </w:p>
        </w:tc>
      </w:tr>
      <w:tr w:rsidR="00AE17FA" w:rsidRPr="00AE17FA" w14:paraId="7B2E252C" w14:textId="77777777" w:rsidTr="00AA1A6D">
        <w:trPr>
          <w:trHeight w:val="300"/>
        </w:trPr>
        <w:tc>
          <w:tcPr>
            <w:tcW w:w="1560" w:type="dxa"/>
            <w:tcBorders>
              <w:top w:val="nil"/>
              <w:left w:val="nil"/>
              <w:bottom w:val="nil"/>
              <w:right w:val="nil"/>
            </w:tcBorders>
            <w:noWrap/>
            <w:vAlign w:val="bottom"/>
            <w:hideMark/>
          </w:tcPr>
          <w:p w14:paraId="36125F0B"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UNDP</w:t>
            </w:r>
          </w:p>
        </w:tc>
        <w:tc>
          <w:tcPr>
            <w:tcW w:w="7371" w:type="dxa"/>
            <w:tcBorders>
              <w:top w:val="nil"/>
              <w:left w:val="nil"/>
              <w:bottom w:val="nil"/>
              <w:right w:val="nil"/>
            </w:tcBorders>
            <w:noWrap/>
            <w:vAlign w:val="bottom"/>
            <w:hideMark/>
          </w:tcPr>
          <w:p w14:paraId="79D4FE56"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United Nations Development Programme</w:t>
            </w:r>
          </w:p>
        </w:tc>
      </w:tr>
      <w:tr w:rsidR="00AE17FA" w:rsidRPr="00AE17FA" w14:paraId="6FFCF2EB" w14:textId="77777777" w:rsidTr="00AA1A6D">
        <w:trPr>
          <w:trHeight w:val="300"/>
        </w:trPr>
        <w:tc>
          <w:tcPr>
            <w:tcW w:w="1560" w:type="dxa"/>
            <w:tcBorders>
              <w:top w:val="nil"/>
              <w:left w:val="nil"/>
              <w:bottom w:val="nil"/>
              <w:right w:val="nil"/>
            </w:tcBorders>
            <w:noWrap/>
            <w:vAlign w:val="bottom"/>
            <w:hideMark/>
          </w:tcPr>
          <w:p w14:paraId="3454F39C"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USD</w:t>
            </w:r>
          </w:p>
        </w:tc>
        <w:tc>
          <w:tcPr>
            <w:tcW w:w="7371" w:type="dxa"/>
            <w:tcBorders>
              <w:top w:val="nil"/>
              <w:left w:val="nil"/>
              <w:bottom w:val="nil"/>
              <w:right w:val="nil"/>
            </w:tcBorders>
            <w:noWrap/>
            <w:vAlign w:val="bottom"/>
            <w:hideMark/>
          </w:tcPr>
          <w:p w14:paraId="3A126D6E" w14:textId="77777777" w:rsidR="00AE17FA" w:rsidRPr="00AE17FA" w:rsidRDefault="00AE17FA" w:rsidP="00AE17FA">
            <w:pPr>
              <w:autoSpaceDE/>
              <w:autoSpaceDN/>
              <w:adjustRightInd/>
              <w:spacing w:after="0" w:line="240" w:lineRule="auto"/>
              <w:rPr>
                <w:rFonts w:ascii="Calibri" w:hAnsi="Calibri" w:cs="Calibri"/>
                <w:lang w:bidi="ar-SA"/>
              </w:rPr>
            </w:pPr>
            <w:r w:rsidRPr="00AE17FA">
              <w:rPr>
                <w:rFonts w:ascii="Calibri" w:hAnsi="Calibri" w:cs="Calibri"/>
                <w:lang w:bidi="ar-SA"/>
              </w:rPr>
              <w:t>United States Dollar</w:t>
            </w:r>
          </w:p>
        </w:tc>
      </w:tr>
    </w:tbl>
    <w:p w14:paraId="22C9C882" w14:textId="413D93C9" w:rsidR="00F66929" w:rsidRPr="00D3558A" w:rsidRDefault="00D3558A" w:rsidP="00D3558A">
      <w:pPr>
        <w:autoSpaceDE/>
        <w:autoSpaceDN/>
        <w:adjustRightInd/>
        <w:spacing w:after="0" w:line="240" w:lineRule="auto"/>
        <w:rPr>
          <w:rFonts w:ascii="Arial" w:hAnsi="Arial" w:cs="Arial"/>
          <w:color w:val="000000"/>
          <w:lang w:bidi="ar-SA"/>
        </w:rPr>
      </w:pPr>
      <w:r>
        <w:rPr>
          <w:rFonts w:ascii="Arial" w:hAnsi="Arial" w:cs="Arial"/>
          <w:color w:val="000000"/>
        </w:rPr>
        <w:br w:type="page"/>
      </w:r>
    </w:p>
    <w:p w14:paraId="1CC86058" w14:textId="0DF9607E" w:rsidR="0017293C" w:rsidRPr="007969E9" w:rsidRDefault="00811D16" w:rsidP="00BB1DA3">
      <w:pPr>
        <w:pStyle w:val="1"/>
        <w:numPr>
          <w:ilvl w:val="0"/>
          <w:numId w:val="0"/>
        </w:numPr>
        <w:ind w:left="709"/>
      </w:pPr>
      <w:bookmarkStart w:id="13" w:name="_Toc219880823"/>
      <w:r w:rsidRPr="007969E9">
        <w:lastRenderedPageBreak/>
        <w:t xml:space="preserve">Executive </w:t>
      </w:r>
      <w:r w:rsidR="00A92EB1" w:rsidRPr="007969E9">
        <w:t>s</w:t>
      </w:r>
      <w:r w:rsidRPr="007969E9">
        <w:t>ummary</w:t>
      </w:r>
      <w:bookmarkEnd w:id="4"/>
      <w:bookmarkEnd w:id="5"/>
      <w:bookmarkEnd w:id="6"/>
      <w:bookmarkEnd w:id="7"/>
      <w:bookmarkEnd w:id="8"/>
      <w:bookmarkEnd w:id="9"/>
      <w:bookmarkEnd w:id="10"/>
      <w:bookmarkEnd w:id="11"/>
      <w:bookmarkEnd w:id="13"/>
    </w:p>
    <w:p w14:paraId="68BC9DE9" w14:textId="0388581F" w:rsidR="003250FD" w:rsidRPr="007969E9" w:rsidRDefault="00642BF0" w:rsidP="003250FD">
      <w:pPr>
        <w:pStyle w:val="a0"/>
        <w:keepNext/>
        <w:spacing w:after="0"/>
        <w:rPr>
          <w:color w:val="098435"/>
          <w:sz w:val="32"/>
          <w:szCs w:val="32"/>
        </w:rPr>
      </w:pPr>
      <w:r w:rsidRPr="007969E9">
        <w:rPr>
          <w:color w:val="098435"/>
          <w:sz w:val="32"/>
          <w:szCs w:val="32"/>
        </w:rPr>
        <w:t>Progress toward targeted result</w:t>
      </w:r>
      <w:r w:rsidR="00A64AD4" w:rsidRPr="007969E9">
        <w:rPr>
          <w:color w:val="098435"/>
          <w:sz w:val="32"/>
          <w:szCs w:val="32"/>
        </w:rPr>
        <w:t>s</w:t>
      </w:r>
    </w:p>
    <w:p w14:paraId="28BFEF9C" w14:textId="7A718255" w:rsidR="00846A5E" w:rsidRPr="007969E9" w:rsidRDefault="00846A5E" w:rsidP="00846A5E">
      <w:pPr>
        <w:keepNext/>
        <w:spacing w:after="0"/>
        <w:rPr>
          <w:rFonts w:ascii="Arial" w:hAnsi="Arial" w:cs="Arial"/>
          <w:color w:val="4091ED" w:themeColor="text1" w:themeTint="99"/>
        </w:rPr>
      </w:pPr>
      <w:r w:rsidRPr="007969E9">
        <w:rPr>
          <w:rFonts w:ascii="Arial" w:hAnsi="Arial" w:cs="Arial"/>
          <w:color w:val="4091ED" w:themeColor="text1" w:themeTint="99"/>
          <w:sz w:val="28"/>
          <w:szCs w:val="28"/>
        </w:rPr>
        <w:t xml:space="preserve">Finance solution 1: Establish Biodiversity Conservation Trust </w:t>
      </w:r>
      <w:r w:rsidR="005915FA" w:rsidRPr="007969E9">
        <w:rPr>
          <w:rFonts w:ascii="Arial" w:hAnsi="Arial" w:cs="Arial"/>
          <w:color w:val="4091ED" w:themeColor="text1" w:themeTint="99"/>
          <w:sz w:val="28"/>
          <w:szCs w:val="28"/>
        </w:rPr>
        <w:t>F</w:t>
      </w:r>
      <w:r w:rsidRPr="007969E9">
        <w:rPr>
          <w:rFonts w:ascii="Arial" w:hAnsi="Arial" w:cs="Arial"/>
          <w:color w:val="4091ED" w:themeColor="text1" w:themeTint="99"/>
          <w:sz w:val="28"/>
          <w:szCs w:val="28"/>
        </w:rPr>
        <w:t>und</w:t>
      </w:r>
      <w:r w:rsidR="005915FA" w:rsidRPr="007969E9">
        <w:rPr>
          <w:rFonts w:ascii="Arial" w:hAnsi="Arial" w:cs="Arial"/>
          <w:color w:val="4091ED" w:themeColor="text1" w:themeTint="99"/>
          <w:sz w:val="28"/>
          <w:szCs w:val="28"/>
        </w:rPr>
        <w:t xml:space="preserve"> (CTF)</w:t>
      </w:r>
      <w:r w:rsidRPr="007969E9">
        <w:rPr>
          <w:rFonts w:ascii="Arial" w:hAnsi="Arial" w:cs="Arial"/>
          <w:color w:val="4091ED" w:themeColor="text1" w:themeTint="99"/>
          <w:sz w:val="28"/>
          <w:szCs w:val="28"/>
        </w:rPr>
        <w:t xml:space="preserve"> as a new mechanism for the resource mobilization</w:t>
      </w:r>
    </w:p>
    <w:p w14:paraId="4A6B1134" w14:textId="11338889" w:rsidR="000F6674" w:rsidRDefault="00201633" w:rsidP="000F6674">
      <w:pPr>
        <w:keepNext/>
        <w:spacing w:after="0"/>
        <w:jc w:val="both"/>
        <w:rPr>
          <w:rFonts w:ascii="Arial" w:hAnsi="Arial" w:cs="Arial"/>
        </w:rPr>
      </w:pPr>
      <w:bookmarkStart w:id="14" w:name="_Hlk109388695"/>
      <w:r w:rsidRPr="00201633">
        <w:rPr>
          <w:rFonts w:ascii="Arial" w:hAnsi="Arial" w:cs="Arial"/>
        </w:rPr>
        <w:t xml:space="preserve">The establishment of the Biodiversity Conservation Trust Fund (CTF) is a flagship financial solution designed to address the critical funding gap in biodiversity conservation in Kyrgyzstan, as identified by the Biodiversity Finance Policy and Institutional Review (PIR), Biodiversity Expenditure Review (BER), </w:t>
      </w:r>
      <w:r w:rsidR="00BD2CC5" w:rsidRPr="00201633">
        <w:rPr>
          <w:rFonts w:ascii="Arial" w:hAnsi="Arial" w:cs="Arial"/>
        </w:rPr>
        <w:t>and Biodiversity</w:t>
      </w:r>
      <w:r w:rsidRPr="00201633">
        <w:rPr>
          <w:rFonts w:ascii="Arial" w:hAnsi="Arial" w:cs="Arial"/>
        </w:rPr>
        <w:t xml:space="preserve"> Financial Needs Assessment (FNA). W</w:t>
      </w:r>
      <w:r w:rsidR="00EF0F66">
        <w:rPr>
          <w:rFonts w:ascii="Arial" w:hAnsi="Arial" w:cs="Arial"/>
        </w:rPr>
        <w:t>ith</w:t>
      </w:r>
      <w:r w:rsidRPr="00201633">
        <w:rPr>
          <w:rFonts w:ascii="Arial" w:hAnsi="Arial" w:cs="Arial"/>
        </w:rPr>
        <w:t xml:space="preserve"> </w:t>
      </w:r>
      <w:r w:rsidR="00CB6052" w:rsidRPr="00CB6052">
        <w:rPr>
          <w:rFonts w:ascii="Arial" w:hAnsi="Arial" w:cs="Arial"/>
        </w:rPr>
        <w:t>financing gap of approximately USD 55 million</w:t>
      </w:r>
      <w:r w:rsidR="00CB6052">
        <w:rPr>
          <w:rFonts w:ascii="Arial" w:hAnsi="Arial" w:cs="Arial"/>
        </w:rPr>
        <w:t xml:space="preserve"> against the total e</w:t>
      </w:r>
      <w:r w:rsidRPr="00201633">
        <w:rPr>
          <w:rFonts w:ascii="Arial" w:hAnsi="Arial" w:cs="Arial"/>
        </w:rPr>
        <w:t xml:space="preserve">stimated </w:t>
      </w:r>
      <w:r w:rsidR="00CB6052">
        <w:rPr>
          <w:rFonts w:ascii="Arial" w:hAnsi="Arial" w:cs="Arial"/>
        </w:rPr>
        <w:t xml:space="preserve">needs of </w:t>
      </w:r>
      <w:r w:rsidR="005F2D37" w:rsidRPr="005F2D37">
        <w:rPr>
          <w:rFonts w:ascii="Arial" w:hAnsi="Arial" w:cs="Arial"/>
        </w:rPr>
        <w:t xml:space="preserve">184 </w:t>
      </w:r>
      <w:r w:rsidR="005F2D37">
        <w:rPr>
          <w:rFonts w:ascii="Arial" w:hAnsi="Arial" w:cs="Arial"/>
        </w:rPr>
        <w:t xml:space="preserve">million USD </w:t>
      </w:r>
      <w:r w:rsidR="00CB6052">
        <w:rPr>
          <w:rFonts w:ascii="Arial" w:hAnsi="Arial" w:cs="Arial"/>
        </w:rPr>
        <w:t>for</w:t>
      </w:r>
      <w:r w:rsidRPr="00201633">
        <w:rPr>
          <w:rFonts w:ascii="Arial" w:hAnsi="Arial" w:cs="Arial"/>
        </w:rPr>
        <w:t xml:space="preserve"> the</w:t>
      </w:r>
      <w:r w:rsidR="005F2D37">
        <w:rPr>
          <w:rFonts w:ascii="Arial" w:hAnsi="Arial" w:cs="Arial"/>
        </w:rPr>
        <w:t xml:space="preserve"> new</w:t>
      </w:r>
      <w:r w:rsidRPr="00201633">
        <w:rPr>
          <w:rFonts w:ascii="Arial" w:hAnsi="Arial" w:cs="Arial"/>
        </w:rPr>
        <w:t xml:space="preserve"> National Biodiversity Strategy and Action Plan (NBSAP) for </w:t>
      </w:r>
      <w:r w:rsidR="005F2D37">
        <w:rPr>
          <w:rFonts w:ascii="Arial" w:hAnsi="Arial" w:cs="Arial"/>
        </w:rPr>
        <w:t xml:space="preserve">2025-2030 </w:t>
      </w:r>
      <w:r w:rsidR="00CB6052">
        <w:rPr>
          <w:rFonts w:ascii="Arial" w:hAnsi="Arial" w:cs="Arial"/>
        </w:rPr>
        <w:t xml:space="preserve">implementation </w:t>
      </w:r>
      <w:r w:rsidR="005F2D37">
        <w:rPr>
          <w:rFonts w:ascii="Arial" w:hAnsi="Arial" w:cs="Arial"/>
        </w:rPr>
        <w:t xml:space="preserve">(currently </w:t>
      </w:r>
      <w:r w:rsidR="00DF17D8">
        <w:rPr>
          <w:rFonts w:ascii="Arial" w:hAnsi="Arial" w:cs="Arial"/>
        </w:rPr>
        <w:t>is under approval process)</w:t>
      </w:r>
      <w:r w:rsidRPr="00201633">
        <w:rPr>
          <w:rFonts w:ascii="Arial" w:hAnsi="Arial" w:cs="Arial"/>
        </w:rPr>
        <w:t>, and continued underfunding from public, donor, and private sectors, the CTF aims to mobilize additional, sustainable financing for priority biodiversity initiatives. The updated NBSAP</w:t>
      </w:r>
      <w:r w:rsidR="00DF17D8">
        <w:rPr>
          <w:rFonts w:ascii="Arial" w:hAnsi="Arial" w:cs="Arial"/>
        </w:rPr>
        <w:t xml:space="preserve"> </w:t>
      </w:r>
      <w:r w:rsidRPr="00201633">
        <w:rPr>
          <w:rFonts w:ascii="Arial" w:hAnsi="Arial" w:cs="Arial"/>
        </w:rPr>
        <w:t>will form the programmatic foundation for the Fund.</w:t>
      </w:r>
    </w:p>
    <w:p w14:paraId="56AB4F1D" w14:textId="77777777" w:rsidR="00201633" w:rsidRPr="007969E9" w:rsidRDefault="00201633" w:rsidP="000F6674">
      <w:pPr>
        <w:keepNext/>
        <w:spacing w:after="0"/>
        <w:jc w:val="both"/>
        <w:rPr>
          <w:rFonts w:ascii="Arial" w:hAnsi="Arial" w:cs="Arial"/>
        </w:rPr>
      </w:pPr>
    </w:p>
    <w:bookmarkEnd w:id="14"/>
    <w:p w14:paraId="08CCCCAE" w14:textId="20EE88AA" w:rsidR="000F6674" w:rsidRPr="007969E9" w:rsidRDefault="006975E4" w:rsidP="000F6674">
      <w:pPr>
        <w:keepNext/>
        <w:spacing w:after="0"/>
        <w:jc w:val="both"/>
        <w:rPr>
          <w:rFonts w:ascii="Arial" w:hAnsi="Arial" w:cs="Arial"/>
        </w:rPr>
      </w:pPr>
      <w:r>
        <w:rPr>
          <w:rFonts w:ascii="Arial" w:hAnsi="Arial" w:cs="Arial"/>
        </w:rPr>
        <w:t>I</w:t>
      </w:r>
      <w:r w:rsidRPr="006975E4">
        <w:rPr>
          <w:rFonts w:ascii="Arial" w:hAnsi="Arial" w:cs="Arial"/>
        </w:rPr>
        <w:t xml:space="preserve">n 2023, a feasibility study evaluated various models for establishing </w:t>
      </w:r>
      <w:r w:rsidR="004C4E29" w:rsidRPr="006975E4">
        <w:rPr>
          <w:rFonts w:ascii="Arial" w:hAnsi="Arial" w:cs="Arial"/>
        </w:rPr>
        <w:t>CTF</w:t>
      </w:r>
      <w:r w:rsidRPr="006975E4">
        <w:rPr>
          <w:rFonts w:ascii="Arial" w:hAnsi="Arial" w:cs="Arial"/>
        </w:rPr>
        <w:t>, including domestic and international options. Due to legal and procedural barriers associated with national models, UNDP proposed leveraging the UN Multi-Partner Trust Fund (MPTF) mechanism as a practical interim solution. The concept was presented at a high-level roundtable in 2024 with wide participation from government agencies, diplomatic missions, UN entities, and development partners</w:t>
      </w:r>
      <w:r w:rsidR="002052A4">
        <w:rPr>
          <w:rFonts w:ascii="Arial" w:hAnsi="Arial" w:cs="Arial"/>
        </w:rPr>
        <w:t>.</w:t>
      </w:r>
    </w:p>
    <w:p w14:paraId="2B3C17F4" w14:textId="77777777" w:rsidR="00F20403" w:rsidRPr="007969E9" w:rsidRDefault="00F20403" w:rsidP="000F6674">
      <w:pPr>
        <w:keepNext/>
        <w:spacing w:after="0"/>
        <w:jc w:val="both"/>
        <w:rPr>
          <w:rFonts w:ascii="Arial" w:hAnsi="Arial" w:cs="Arial"/>
        </w:rPr>
      </w:pPr>
    </w:p>
    <w:p w14:paraId="15361EE0" w14:textId="77777777" w:rsidR="00BA0622" w:rsidRDefault="002052A4" w:rsidP="000F6674">
      <w:pPr>
        <w:jc w:val="both"/>
        <w:rPr>
          <w:rFonts w:ascii="Arial" w:hAnsi="Arial" w:cs="Arial"/>
        </w:rPr>
      </w:pPr>
      <w:r>
        <w:rPr>
          <w:rFonts w:ascii="Arial" w:hAnsi="Arial" w:cs="Arial"/>
        </w:rPr>
        <w:t xml:space="preserve">Following the multi-stakeholder support, </w:t>
      </w:r>
      <w:r w:rsidR="00BA0622">
        <w:rPr>
          <w:rFonts w:ascii="Arial" w:hAnsi="Arial" w:cs="Arial"/>
        </w:rPr>
        <w:t>the development of the f</w:t>
      </w:r>
      <w:r w:rsidR="008A46E9" w:rsidRPr="008A46E9">
        <w:rPr>
          <w:rFonts w:ascii="Arial" w:hAnsi="Arial" w:cs="Arial"/>
        </w:rPr>
        <w:t>oundational documents for the CTF—comprising the Terms of Reference (ToR) and Operations Manual</w:t>
      </w:r>
      <w:r w:rsidR="00BA0622">
        <w:rPr>
          <w:rFonts w:ascii="Arial" w:hAnsi="Arial" w:cs="Arial"/>
        </w:rPr>
        <w:t xml:space="preserve"> have been initiated in 2024.</w:t>
      </w:r>
    </w:p>
    <w:p w14:paraId="494BB779" w14:textId="7FB9B702" w:rsidR="00246901" w:rsidRPr="00246901" w:rsidRDefault="00BA0622" w:rsidP="00246901">
      <w:pPr>
        <w:jc w:val="both"/>
        <w:rPr>
          <w:rFonts w:ascii="Arial" w:hAnsi="Arial" w:cs="Arial"/>
        </w:rPr>
      </w:pPr>
      <w:r>
        <w:rPr>
          <w:rFonts w:ascii="Arial" w:hAnsi="Arial" w:cs="Arial"/>
        </w:rPr>
        <w:t xml:space="preserve">During the reporting period, </w:t>
      </w:r>
      <w:r w:rsidR="002E70A4">
        <w:rPr>
          <w:rFonts w:ascii="Arial" w:hAnsi="Arial" w:cs="Arial"/>
        </w:rPr>
        <w:t>the foundational documents were complete</w:t>
      </w:r>
      <w:r w:rsidR="00246901">
        <w:rPr>
          <w:rFonts w:ascii="Arial" w:hAnsi="Arial" w:cs="Arial"/>
        </w:rPr>
        <w:t xml:space="preserve">d, including: </w:t>
      </w:r>
    </w:p>
    <w:p w14:paraId="7E72169C" w14:textId="4AE398C6" w:rsidR="00455161" w:rsidRDefault="00455161" w:rsidP="00246901">
      <w:pPr>
        <w:pStyle w:val="af8"/>
        <w:numPr>
          <w:ilvl w:val="0"/>
          <w:numId w:val="41"/>
        </w:numPr>
        <w:jc w:val="both"/>
        <w:rPr>
          <w:rFonts w:ascii="Arial" w:hAnsi="Arial" w:cs="Arial"/>
        </w:rPr>
      </w:pPr>
      <w:r>
        <w:rPr>
          <w:rFonts w:ascii="Arial" w:hAnsi="Arial" w:cs="Arial"/>
        </w:rPr>
        <w:t>the</w:t>
      </w:r>
      <w:r w:rsidR="00246901" w:rsidRPr="00455161">
        <w:rPr>
          <w:rFonts w:ascii="Arial" w:hAnsi="Arial" w:cs="Arial"/>
        </w:rPr>
        <w:t xml:space="preserve"> CTF Terms of Reference defining objectives, governance, and programmatic focu</w:t>
      </w:r>
      <w:r>
        <w:rPr>
          <w:rFonts w:ascii="Arial" w:hAnsi="Arial" w:cs="Arial"/>
        </w:rPr>
        <w:t>s;</w:t>
      </w:r>
    </w:p>
    <w:p w14:paraId="7B112D4A" w14:textId="039B9362" w:rsidR="00246901" w:rsidRPr="00455161" w:rsidRDefault="00455161" w:rsidP="00246901">
      <w:pPr>
        <w:pStyle w:val="af8"/>
        <w:numPr>
          <w:ilvl w:val="0"/>
          <w:numId w:val="41"/>
        </w:numPr>
        <w:jc w:val="both"/>
        <w:rPr>
          <w:rFonts w:ascii="Arial" w:hAnsi="Arial" w:cs="Arial"/>
        </w:rPr>
      </w:pPr>
      <w:r>
        <w:rPr>
          <w:rFonts w:ascii="Arial" w:hAnsi="Arial" w:cs="Arial"/>
        </w:rPr>
        <w:t xml:space="preserve">a </w:t>
      </w:r>
      <w:r w:rsidR="00246901" w:rsidRPr="00455161">
        <w:rPr>
          <w:rFonts w:ascii="Arial" w:hAnsi="Arial" w:cs="Arial"/>
        </w:rPr>
        <w:t>comprehensive Operations Manual, establishing transparent procedures for fund management, project selection, and oversight.</w:t>
      </w:r>
    </w:p>
    <w:p w14:paraId="541E28BD" w14:textId="7BE48369" w:rsidR="0058054D" w:rsidRDefault="00EA46E0" w:rsidP="000F6674">
      <w:pPr>
        <w:jc w:val="both"/>
        <w:rPr>
          <w:rFonts w:ascii="Arial" w:hAnsi="Arial" w:cs="Arial"/>
        </w:rPr>
      </w:pPr>
      <w:r>
        <w:rPr>
          <w:rFonts w:ascii="Arial" w:hAnsi="Arial" w:cs="Arial"/>
        </w:rPr>
        <w:t>As the UN</w:t>
      </w:r>
      <w:r w:rsidR="0058054D" w:rsidRPr="0058054D">
        <w:rPr>
          <w:rFonts w:ascii="Arial" w:hAnsi="Arial" w:cs="Arial"/>
        </w:rPr>
        <w:t xml:space="preserve"> Multi-Partner Trust Fund (MPTF) model requires that the Conservation Trust Fund (CTF) be established by at least two UN agencies</w:t>
      </w:r>
      <w:r>
        <w:t>, a</w:t>
      </w:r>
      <w:r w:rsidRPr="00EA46E0">
        <w:rPr>
          <w:rFonts w:ascii="Arial" w:hAnsi="Arial" w:cs="Arial"/>
        </w:rPr>
        <w:t xml:space="preserve"> key institutional milestone was achieved through the formalization of a joint UN partnership model, with UNDP, UNEP, FAO, and WFP confirmed as UN co-founding partners under the leadership of the UN Resident Coordinator.</w:t>
      </w:r>
      <w:r>
        <w:rPr>
          <w:rFonts w:ascii="Arial" w:hAnsi="Arial" w:cs="Arial"/>
        </w:rPr>
        <w:t xml:space="preserve"> </w:t>
      </w:r>
      <w:r w:rsidR="00C62701" w:rsidRPr="00C62701">
        <w:rPr>
          <w:rFonts w:ascii="Arial" w:hAnsi="Arial" w:cs="Arial"/>
        </w:rPr>
        <w:t>This multi-agency arrangement ensures coherent, multisectoral support for biodiversity conservation.</w:t>
      </w:r>
    </w:p>
    <w:p w14:paraId="63B442A1" w14:textId="2DFC5F8F" w:rsidR="00847AFF" w:rsidRDefault="00896ECC" w:rsidP="000F6674">
      <w:pPr>
        <w:jc w:val="both"/>
        <w:rPr>
          <w:rFonts w:ascii="Arial" w:hAnsi="Arial" w:cs="Arial"/>
        </w:rPr>
      </w:pPr>
      <w:r w:rsidRPr="00896ECC">
        <w:rPr>
          <w:rFonts w:ascii="Arial" w:hAnsi="Arial" w:cs="Arial"/>
        </w:rPr>
        <w:t>To operationalize fundraising efforts, a CTF Outreach Plan was developed</w:t>
      </w:r>
      <w:r>
        <w:rPr>
          <w:rFonts w:ascii="Arial" w:hAnsi="Arial" w:cs="Arial"/>
        </w:rPr>
        <w:t>. The</w:t>
      </w:r>
      <w:r w:rsidR="00A363D6" w:rsidRPr="00A363D6">
        <w:rPr>
          <w:rFonts w:ascii="Arial" w:hAnsi="Arial" w:cs="Arial"/>
        </w:rPr>
        <w:t xml:space="preserve"> structured engagement with senior government counterparts resulted in confirmation that the </w:t>
      </w:r>
      <w:r w:rsidR="00A363D6" w:rsidRPr="00A363D6">
        <w:rPr>
          <w:rFonts w:ascii="Arial" w:hAnsi="Arial" w:cs="Arial"/>
        </w:rPr>
        <w:lastRenderedPageBreak/>
        <w:t>Government of the Kyrgyz Republic is considering a financial contribution to the CTF, a critical step for demonstrating national commitment and leveraging additional donor financing.</w:t>
      </w:r>
      <w:r w:rsidR="00A363D6">
        <w:rPr>
          <w:rFonts w:ascii="Arial" w:hAnsi="Arial" w:cs="Arial"/>
        </w:rPr>
        <w:t xml:space="preserve"> However</w:t>
      </w:r>
      <w:r w:rsidR="00B7777C">
        <w:rPr>
          <w:rFonts w:ascii="Arial" w:hAnsi="Arial" w:cs="Arial"/>
        </w:rPr>
        <w:t xml:space="preserve">, the </w:t>
      </w:r>
      <w:r w:rsidR="009C0EA5" w:rsidRPr="009C0EA5">
        <w:rPr>
          <w:rFonts w:ascii="Arial" w:hAnsi="Arial" w:cs="Arial"/>
        </w:rPr>
        <w:t xml:space="preserve">question was raised regarding whether the Government’s contribution could be transferred to a national account rather than through the UN Multi-Partner Trust Fund (MPTF). Following consultations with the UN MPTF Office, it was clarified that, as </w:t>
      </w:r>
      <w:r w:rsidR="00847AFF" w:rsidRPr="009C0EA5">
        <w:rPr>
          <w:rFonts w:ascii="Arial" w:hAnsi="Arial" w:cs="Arial"/>
        </w:rPr>
        <w:t>CTF</w:t>
      </w:r>
      <w:r w:rsidR="009C0EA5" w:rsidRPr="009C0EA5">
        <w:rPr>
          <w:rFonts w:ascii="Arial" w:hAnsi="Arial" w:cs="Arial"/>
        </w:rPr>
        <w:t xml:space="preserve"> is being established as a pooled fund under the MPTF mechanism, all contributions must be channeled through a single UN MPTF account. Discussions with government counterparts on the Government’s contribution will continue based on this clarification.</w:t>
      </w:r>
    </w:p>
    <w:p w14:paraId="56FDF96F" w14:textId="77777777" w:rsidR="00012555" w:rsidRDefault="00012555" w:rsidP="00411448">
      <w:pPr>
        <w:keepNext/>
        <w:spacing w:after="0"/>
        <w:jc w:val="both"/>
        <w:rPr>
          <w:rFonts w:ascii="Arial" w:hAnsi="Arial" w:cs="Arial"/>
        </w:rPr>
      </w:pPr>
      <w:r w:rsidRPr="00EC6002">
        <w:rPr>
          <w:rFonts w:ascii="Arial" w:hAnsi="Arial" w:cs="Arial"/>
        </w:rPr>
        <w:t>In addition, agreement was reached with national counterparts to convene a joint donor engagement event in early 2026, aimed at securing initial capitalization commitments and launching the CTF’s first programmatic cycle.</w:t>
      </w:r>
      <w:r>
        <w:rPr>
          <w:rFonts w:ascii="Arial" w:hAnsi="Arial" w:cs="Arial"/>
        </w:rPr>
        <w:t xml:space="preserve"> </w:t>
      </w:r>
    </w:p>
    <w:p w14:paraId="6D62A7EA" w14:textId="77777777" w:rsidR="00012555" w:rsidRDefault="00012555" w:rsidP="00411448">
      <w:pPr>
        <w:keepNext/>
        <w:spacing w:after="0"/>
        <w:jc w:val="both"/>
        <w:rPr>
          <w:rFonts w:ascii="Arial" w:hAnsi="Arial" w:cs="Arial"/>
        </w:rPr>
      </w:pPr>
    </w:p>
    <w:p w14:paraId="3423EC97" w14:textId="685704DE" w:rsidR="00605E79" w:rsidRDefault="00EC6002" w:rsidP="00411448">
      <w:pPr>
        <w:keepNext/>
        <w:spacing w:after="0"/>
        <w:jc w:val="both"/>
        <w:rPr>
          <w:rFonts w:ascii="Arial" w:hAnsi="Arial" w:cs="Arial"/>
        </w:rPr>
      </w:pPr>
      <w:r w:rsidRPr="00EC6002">
        <w:rPr>
          <w:rFonts w:ascii="Arial" w:hAnsi="Arial" w:cs="Arial"/>
        </w:rPr>
        <w:t xml:space="preserve">Advocacy and communication tools—including a promotional video and informational booklet—were produced to strengthen donor engagement. </w:t>
      </w:r>
    </w:p>
    <w:p w14:paraId="4DBD55F8" w14:textId="77777777" w:rsidR="00EC6002" w:rsidRPr="007969E9" w:rsidRDefault="00EC6002" w:rsidP="00411448">
      <w:pPr>
        <w:keepNext/>
        <w:spacing w:after="0"/>
        <w:jc w:val="both"/>
        <w:rPr>
          <w:rFonts w:ascii="Arial" w:hAnsi="Arial" w:cs="Arial"/>
        </w:rPr>
      </w:pPr>
    </w:p>
    <w:p w14:paraId="22FC4B32" w14:textId="7254A3FC" w:rsidR="00411448" w:rsidRPr="007969E9" w:rsidRDefault="00411448" w:rsidP="00411448">
      <w:pPr>
        <w:keepNext/>
        <w:spacing w:after="0"/>
        <w:jc w:val="both"/>
        <w:rPr>
          <w:rFonts w:ascii="Arial" w:hAnsi="Arial" w:cs="Arial"/>
          <w:color w:val="4091ED" w:themeColor="text1" w:themeTint="99"/>
          <w:sz w:val="28"/>
          <w:szCs w:val="28"/>
        </w:rPr>
      </w:pPr>
      <w:r w:rsidRPr="007969E9">
        <w:rPr>
          <w:rFonts w:ascii="Arial" w:hAnsi="Arial" w:cs="Arial"/>
          <w:color w:val="4091ED" w:themeColor="text1" w:themeTint="99"/>
          <w:sz w:val="28"/>
          <w:szCs w:val="28"/>
        </w:rPr>
        <w:t>Finance solution 2: Reform harmful agricultural subsidies to remove barriers to green/organic agriculture</w:t>
      </w:r>
    </w:p>
    <w:p w14:paraId="43DD76B6" w14:textId="77777777" w:rsidR="00411448" w:rsidRPr="007969E9" w:rsidRDefault="00411448" w:rsidP="00411448">
      <w:pPr>
        <w:keepNext/>
        <w:spacing w:after="0"/>
        <w:jc w:val="both"/>
        <w:rPr>
          <w:rFonts w:ascii="Arial" w:hAnsi="Arial" w:cs="Arial"/>
          <w:color w:val="4091ED" w:themeColor="text1" w:themeTint="99"/>
          <w:sz w:val="28"/>
          <w:szCs w:val="28"/>
        </w:rPr>
      </w:pPr>
      <w:r w:rsidRPr="007969E9">
        <w:rPr>
          <w:rFonts w:ascii="Arial" w:hAnsi="Arial" w:cs="Arial"/>
          <w:color w:val="4091ED" w:themeColor="text1" w:themeTint="99"/>
          <w:sz w:val="28"/>
          <w:szCs w:val="28"/>
        </w:rPr>
        <w:t>Finance solution 9: Introduction of monitoring and evaluation practices for subsidy effectiveness in Kyrgyzstan with a focus on potentially harmful to biodiversity subsidies</w:t>
      </w:r>
    </w:p>
    <w:p w14:paraId="4293E752" w14:textId="77777777" w:rsidR="00380EB4" w:rsidRDefault="00380EB4" w:rsidP="00AB1045">
      <w:pPr>
        <w:jc w:val="both"/>
        <w:rPr>
          <w:rFonts w:ascii="Arial" w:hAnsi="Arial" w:cs="Arial"/>
        </w:rPr>
      </w:pPr>
      <w:r w:rsidRPr="00380EB4">
        <w:rPr>
          <w:rFonts w:ascii="Arial" w:hAnsi="Arial" w:cs="Arial"/>
        </w:rPr>
        <w:t xml:space="preserve">Agriculture in Kyrgyzstan exerts significant pressure on biodiversity through uncontrolled expansion into wildlife habitats, overgrazing, inefficient water use, water pollution, and the application of agrochemicals. The sector receives substantial public support, with various subsidies and budget allocations covering measures such as concessional loans, free animal vaccinations, and tax exemptions. Reforming or greening environmentally harmful subsidies is increasingly recognized as a strategic approach to simultaneously reduce the fiscal burden on the state, improve environmental outcomes, and enhance economic efficiency by encouraging the adoption of sustainable agricultural practices. </w:t>
      </w:r>
    </w:p>
    <w:p w14:paraId="6FE5374A" w14:textId="65A77DEF" w:rsidR="00AF1CBA" w:rsidRDefault="00AF1CBA" w:rsidP="00AB1045">
      <w:pPr>
        <w:jc w:val="both"/>
        <w:rPr>
          <w:rFonts w:ascii="Arial" w:hAnsi="Arial" w:cs="Arial"/>
        </w:rPr>
      </w:pPr>
      <w:r w:rsidRPr="007969E9">
        <w:rPr>
          <w:rFonts w:ascii="Arial" w:hAnsi="Arial" w:cs="Arial"/>
        </w:rPr>
        <w:t xml:space="preserve">Recognizing the need to address these challenges, </w:t>
      </w:r>
      <w:r w:rsidR="0013442C">
        <w:rPr>
          <w:rFonts w:ascii="Arial" w:hAnsi="Arial" w:cs="Arial"/>
        </w:rPr>
        <w:t>BIOFIN</w:t>
      </w:r>
      <w:r w:rsidRPr="007969E9">
        <w:rPr>
          <w:rFonts w:ascii="Arial" w:hAnsi="Arial" w:cs="Arial"/>
        </w:rPr>
        <w:t xml:space="preserve"> has prioritized the development of financial solutions (FS) to reform harmful subsidies. </w:t>
      </w:r>
      <w:r w:rsidR="009C03C6" w:rsidRPr="009C03C6">
        <w:rPr>
          <w:rFonts w:ascii="Arial" w:hAnsi="Arial" w:cs="Arial"/>
        </w:rPr>
        <w:t xml:space="preserve">Financial Solution 2 </w:t>
      </w:r>
      <w:r w:rsidR="00700FC0">
        <w:rPr>
          <w:rFonts w:ascii="Arial" w:hAnsi="Arial" w:cs="Arial"/>
        </w:rPr>
        <w:t>aims</w:t>
      </w:r>
      <w:r w:rsidR="009C03C6" w:rsidRPr="009C03C6">
        <w:rPr>
          <w:rFonts w:ascii="Arial" w:hAnsi="Arial" w:cs="Arial"/>
        </w:rPr>
        <w:t xml:space="preserve"> to design and implement measures to gradually reform or green environmentally harmful subsidies in an efficient and socially responsible manner, minimizing adverse impacts on the most vulnerable groups.</w:t>
      </w:r>
      <w:r w:rsidR="00801A46">
        <w:rPr>
          <w:rFonts w:ascii="Arial" w:hAnsi="Arial" w:cs="Arial"/>
        </w:rPr>
        <w:t xml:space="preserve"> </w:t>
      </w:r>
      <w:r w:rsidR="008343E4" w:rsidRPr="008343E4">
        <w:rPr>
          <w:rFonts w:ascii="Arial" w:hAnsi="Arial" w:cs="Arial"/>
        </w:rPr>
        <w:t>Financial Solution 9 was developed as a follow-up</w:t>
      </w:r>
      <w:r w:rsidR="003E6D3C" w:rsidRPr="003E6D3C">
        <w:t xml:space="preserve"> </w:t>
      </w:r>
      <w:r w:rsidR="003E6D3C" w:rsidRPr="003E6D3C">
        <w:rPr>
          <w:rFonts w:ascii="Arial" w:hAnsi="Arial" w:cs="Arial"/>
        </w:rPr>
        <w:t>to the findings identified during the implementation of FS</w:t>
      </w:r>
      <w:r w:rsidR="00B9120B">
        <w:rPr>
          <w:rFonts w:ascii="Arial" w:hAnsi="Arial" w:cs="Arial"/>
        </w:rPr>
        <w:t xml:space="preserve"> </w:t>
      </w:r>
      <w:r w:rsidR="003E6D3C" w:rsidRPr="003E6D3C">
        <w:rPr>
          <w:rFonts w:ascii="Arial" w:hAnsi="Arial" w:cs="Arial"/>
        </w:rPr>
        <w:t>2</w:t>
      </w:r>
      <w:r w:rsidR="008343E4" w:rsidRPr="008343E4">
        <w:rPr>
          <w:rFonts w:ascii="Arial" w:hAnsi="Arial" w:cs="Arial"/>
        </w:rPr>
        <w:t xml:space="preserve">, </w:t>
      </w:r>
      <w:r w:rsidR="003E6D3C">
        <w:rPr>
          <w:rFonts w:ascii="Arial" w:hAnsi="Arial" w:cs="Arial"/>
        </w:rPr>
        <w:t>and aims</w:t>
      </w:r>
      <w:r w:rsidR="008343E4" w:rsidRPr="008343E4">
        <w:rPr>
          <w:rFonts w:ascii="Arial" w:hAnsi="Arial" w:cs="Arial"/>
        </w:rPr>
        <w:t xml:space="preserve"> at filling a critical gap: the lack of mechanisms to assess the environmental impacts and effectiveness of subsidies.</w:t>
      </w:r>
    </w:p>
    <w:p w14:paraId="22D3FEEF" w14:textId="77777777" w:rsidR="00CF07A4" w:rsidRPr="00EF4EC9" w:rsidRDefault="00CF07A4" w:rsidP="00CF07A4">
      <w:pPr>
        <w:jc w:val="both"/>
        <w:rPr>
          <w:rFonts w:ascii="Arial" w:hAnsi="Arial" w:cs="Arial"/>
        </w:rPr>
      </w:pPr>
      <w:r w:rsidRPr="008472FB">
        <w:rPr>
          <w:rFonts w:ascii="Arial" w:hAnsi="Arial" w:cs="Arial"/>
        </w:rPr>
        <w:t>Integrating the agenda of reforming environmentally harmful subsidies into national development programs is essential for ensuring policy coherence, long-term sustainability, and effective implementation of biodiversity goals in Kyrgyzstan.</w:t>
      </w:r>
      <w:r w:rsidRPr="005704E5">
        <w:t xml:space="preserve"> </w:t>
      </w:r>
      <w:r w:rsidRPr="005704E5">
        <w:rPr>
          <w:rFonts w:ascii="Arial" w:hAnsi="Arial" w:cs="Arial"/>
        </w:rPr>
        <w:t xml:space="preserve">Embedding </w:t>
      </w:r>
      <w:r>
        <w:rPr>
          <w:rFonts w:ascii="Arial" w:hAnsi="Arial" w:cs="Arial"/>
        </w:rPr>
        <w:t xml:space="preserve">phasing out the harmful </w:t>
      </w:r>
      <w:r w:rsidRPr="005704E5">
        <w:rPr>
          <w:rFonts w:ascii="Arial" w:hAnsi="Arial" w:cs="Arial"/>
        </w:rPr>
        <w:t>subsid</w:t>
      </w:r>
      <w:r>
        <w:rPr>
          <w:rFonts w:ascii="Arial" w:hAnsi="Arial" w:cs="Arial"/>
        </w:rPr>
        <w:t xml:space="preserve">ies </w:t>
      </w:r>
      <w:r w:rsidRPr="005704E5">
        <w:rPr>
          <w:rFonts w:ascii="Arial" w:hAnsi="Arial" w:cs="Arial"/>
        </w:rPr>
        <w:t xml:space="preserve">into national programs elevates the issue from a technical recommendation </w:t>
      </w:r>
      <w:r w:rsidRPr="005704E5">
        <w:rPr>
          <w:rFonts w:ascii="Arial" w:hAnsi="Arial" w:cs="Arial"/>
        </w:rPr>
        <w:lastRenderedPageBreak/>
        <w:t xml:space="preserve">to a formal policy commitment. </w:t>
      </w:r>
      <w:r>
        <w:rPr>
          <w:rFonts w:ascii="Arial" w:hAnsi="Arial" w:cs="Arial"/>
        </w:rPr>
        <w:t xml:space="preserve">In this context, </w:t>
      </w:r>
      <w:r w:rsidRPr="00785E69">
        <w:rPr>
          <w:rFonts w:ascii="Arial" w:hAnsi="Arial" w:cs="Arial"/>
        </w:rPr>
        <w:t xml:space="preserve">BIOFIN has integrated </w:t>
      </w:r>
      <w:r w:rsidRPr="00062AA5">
        <w:rPr>
          <w:rFonts w:ascii="Arial" w:hAnsi="Arial" w:cs="Arial"/>
        </w:rPr>
        <w:t>specific measure</w:t>
      </w:r>
      <w:r>
        <w:rPr>
          <w:rFonts w:ascii="Arial" w:hAnsi="Arial" w:cs="Arial"/>
        </w:rPr>
        <w:t>s</w:t>
      </w:r>
      <w:r w:rsidRPr="00062AA5">
        <w:rPr>
          <w:rFonts w:ascii="Arial" w:hAnsi="Arial" w:cs="Arial"/>
        </w:rPr>
        <w:t xml:space="preserve"> and indicator</w:t>
      </w:r>
      <w:r>
        <w:rPr>
          <w:rFonts w:ascii="Arial" w:hAnsi="Arial" w:cs="Arial"/>
        </w:rPr>
        <w:t>s</w:t>
      </w:r>
      <w:r w:rsidRPr="00062AA5">
        <w:rPr>
          <w:rFonts w:ascii="Arial" w:hAnsi="Arial" w:cs="Arial"/>
        </w:rPr>
        <w:t xml:space="preserve"> targeted at phasing out or repurposing environmentally harmful </w:t>
      </w:r>
      <w:r w:rsidRPr="00785E69">
        <w:rPr>
          <w:rFonts w:ascii="Arial" w:hAnsi="Arial" w:cs="Arial"/>
        </w:rPr>
        <w:t xml:space="preserve">into national policy frameworks, including the Green Economy Development Program (2024–2028) and the National Biodiversity Strategy and Action Plan </w:t>
      </w:r>
      <w:r>
        <w:rPr>
          <w:rFonts w:ascii="Arial" w:hAnsi="Arial" w:cs="Arial"/>
        </w:rPr>
        <w:t xml:space="preserve">2025-2030 </w:t>
      </w:r>
      <w:r w:rsidRPr="00785E69">
        <w:rPr>
          <w:rFonts w:ascii="Arial" w:hAnsi="Arial" w:cs="Arial"/>
        </w:rPr>
        <w:t xml:space="preserve">(NBSAP), marking the first time </w:t>
      </w:r>
      <w:r w:rsidRPr="00B258AC">
        <w:rPr>
          <w:rFonts w:ascii="Arial" w:hAnsi="Arial" w:cs="Arial"/>
        </w:rPr>
        <w:t>measures targeting the reduction of the negative impact of subsidies on the environment</w:t>
      </w:r>
      <w:r>
        <w:rPr>
          <w:rFonts w:ascii="Arial" w:hAnsi="Arial" w:cs="Arial"/>
        </w:rPr>
        <w:t xml:space="preserve"> </w:t>
      </w:r>
      <w:r w:rsidRPr="00785E69">
        <w:rPr>
          <w:rFonts w:ascii="Arial" w:hAnsi="Arial" w:cs="Arial"/>
        </w:rPr>
        <w:t>has been mainstreamed into national development planning.</w:t>
      </w:r>
    </w:p>
    <w:p w14:paraId="0BE4722C" w14:textId="41515071" w:rsidR="00EF4EC9" w:rsidRPr="00EF4EC9" w:rsidRDefault="00EF4EC9" w:rsidP="00EF4EC9">
      <w:pPr>
        <w:jc w:val="both"/>
        <w:rPr>
          <w:rFonts w:ascii="Arial" w:hAnsi="Arial" w:cs="Arial"/>
        </w:rPr>
      </w:pPr>
      <w:r w:rsidRPr="00EF4EC9">
        <w:rPr>
          <w:rFonts w:ascii="Arial" w:hAnsi="Arial" w:cs="Arial"/>
        </w:rPr>
        <w:t>An analysis conducted</w:t>
      </w:r>
      <w:r w:rsidR="00A66045">
        <w:rPr>
          <w:rFonts w:ascii="Arial" w:hAnsi="Arial" w:cs="Arial"/>
        </w:rPr>
        <w:t xml:space="preserve"> in 2019</w:t>
      </w:r>
      <w:r w:rsidRPr="00EF4EC9">
        <w:rPr>
          <w:rFonts w:ascii="Arial" w:hAnsi="Arial" w:cs="Arial"/>
        </w:rPr>
        <w:t xml:space="preserve"> under FS</w:t>
      </w:r>
      <w:r w:rsidR="00A66045">
        <w:rPr>
          <w:rFonts w:ascii="Arial" w:hAnsi="Arial" w:cs="Arial"/>
        </w:rPr>
        <w:t xml:space="preserve"> </w:t>
      </w:r>
      <w:r w:rsidRPr="00EF4EC9">
        <w:rPr>
          <w:rFonts w:ascii="Arial" w:hAnsi="Arial" w:cs="Arial"/>
        </w:rPr>
        <w:t xml:space="preserve">2 revealed approximately 30 subsidies with potentially harmful environmental effects and confirmed that Kyrgyzstan lacks both ex-ante and ex-post evaluation mechanisms for such support measures. To address these issues, a comprehensive package of interventions </w:t>
      </w:r>
      <w:r w:rsidR="0015171A">
        <w:rPr>
          <w:rFonts w:ascii="Arial" w:hAnsi="Arial" w:cs="Arial"/>
        </w:rPr>
        <w:t xml:space="preserve">was designed and to be </w:t>
      </w:r>
      <w:r w:rsidRPr="00EF4EC9">
        <w:rPr>
          <w:rFonts w:ascii="Arial" w:hAnsi="Arial" w:cs="Arial"/>
        </w:rPr>
        <w:t xml:space="preserve">launched in </w:t>
      </w:r>
      <w:r w:rsidR="006C5A7A">
        <w:rPr>
          <w:rFonts w:ascii="Arial" w:hAnsi="Arial" w:cs="Arial"/>
        </w:rPr>
        <w:t>2026</w:t>
      </w:r>
      <w:r w:rsidRPr="00EF4EC9">
        <w:rPr>
          <w:rFonts w:ascii="Arial" w:hAnsi="Arial" w:cs="Arial"/>
        </w:rPr>
        <w:t>, including:</w:t>
      </w:r>
    </w:p>
    <w:p w14:paraId="5DAFE02C" w14:textId="736FD08F" w:rsidR="00EF4EC9" w:rsidRPr="00FE589C" w:rsidRDefault="00EF4EC9" w:rsidP="00EF4EC9">
      <w:pPr>
        <w:pStyle w:val="af8"/>
        <w:numPr>
          <w:ilvl w:val="0"/>
          <w:numId w:val="33"/>
        </w:numPr>
        <w:jc w:val="both"/>
        <w:rPr>
          <w:rFonts w:ascii="Arial" w:hAnsi="Arial" w:cs="Arial"/>
        </w:rPr>
      </w:pPr>
      <w:r w:rsidRPr="00FE589C">
        <w:rPr>
          <w:rFonts w:ascii="Arial" w:hAnsi="Arial" w:cs="Arial"/>
        </w:rPr>
        <w:t>Development and piloting of a methodology to assess the environmental impact and effectiveness of subsidies,</w:t>
      </w:r>
    </w:p>
    <w:p w14:paraId="5D0BCB38" w14:textId="1961D956" w:rsidR="00EF4EC9" w:rsidRPr="00FE589C" w:rsidRDefault="00EF4EC9" w:rsidP="00EF4EC9">
      <w:pPr>
        <w:pStyle w:val="af8"/>
        <w:numPr>
          <w:ilvl w:val="0"/>
          <w:numId w:val="33"/>
        </w:numPr>
        <w:jc w:val="both"/>
        <w:rPr>
          <w:rFonts w:ascii="Arial" w:hAnsi="Arial" w:cs="Arial"/>
        </w:rPr>
      </w:pPr>
      <w:r w:rsidRPr="00FE589C">
        <w:rPr>
          <w:rFonts w:ascii="Arial" w:hAnsi="Arial" w:cs="Arial"/>
        </w:rPr>
        <w:t>A survey to understand public awareness and perceptions of harmful subsidies</w:t>
      </w:r>
      <w:r w:rsidR="00225CB0">
        <w:rPr>
          <w:rFonts w:ascii="Arial" w:hAnsi="Arial" w:cs="Arial"/>
        </w:rPr>
        <w:t>, and b</w:t>
      </w:r>
      <w:r w:rsidR="00225CB0" w:rsidRPr="00225CB0">
        <w:rPr>
          <w:rFonts w:ascii="Arial" w:hAnsi="Arial" w:cs="Arial"/>
        </w:rPr>
        <w:t xml:space="preserve">ased on survey findings, provide </w:t>
      </w:r>
      <w:r w:rsidR="00595D5D" w:rsidRPr="00595D5D">
        <w:rPr>
          <w:rFonts w:ascii="Arial" w:hAnsi="Arial" w:cs="Arial"/>
        </w:rPr>
        <w:t>evidence-based</w:t>
      </w:r>
      <w:r w:rsidR="00225CB0" w:rsidRPr="00225CB0">
        <w:rPr>
          <w:rFonts w:ascii="Arial" w:hAnsi="Arial" w:cs="Arial"/>
        </w:rPr>
        <w:t xml:space="preserve"> recommendations for policymakers</w:t>
      </w:r>
      <w:r w:rsidR="00225CB0">
        <w:rPr>
          <w:rFonts w:ascii="Arial" w:hAnsi="Arial" w:cs="Arial"/>
        </w:rPr>
        <w:t>,</w:t>
      </w:r>
    </w:p>
    <w:p w14:paraId="50D6091C" w14:textId="5D6186AC" w:rsidR="00EF4EC9" w:rsidRDefault="00EF4EC9" w:rsidP="00EF4EC9">
      <w:pPr>
        <w:pStyle w:val="af8"/>
        <w:numPr>
          <w:ilvl w:val="0"/>
          <w:numId w:val="33"/>
        </w:numPr>
        <w:jc w:val="both"/>
        <w:rPr>
          <w:rFonts w:ascii="Arial" w:hAnsi="Arial" w:cs="Arial"/>
        </w:rPr>
      </w:pPr>
      <w:r w:rsidRPr="00FE589C">
        <w:rPr>
          <w:rFonts w:ascii="Arial" w:hAnsi="Arial" w:cs="Arial"/>
        </w:rPr>
        <w:t>A communication campaign to build public and political support for reform.</w:t>
      </w:r>
    </w:p>
    <w:p w14:paraId="343B1F6C" w14:textId="77777777" w:rsidR="00A3013E" w:rsidRPr="00FE589C" w:rsidRDefault="00A3013E" w:rsidP="00A3013E">
      <w:pPr>
        <w:pStyle w:val="af8"/>
        <w:jc w:val="both"/>
        <w:rPr>
          <w:rFonts w:ascii="Arial" w:hAnsi="Arial" w:cs="Arial"/>
        </w:rPr>
      </w:pPr>
    </w:p>
    <w:p w14:paraId="0CAE0A0D" w14:textId="40E4B307" w:rsidR="00846A5E" w:rsidRPr="007969E9" w:rsidRDefault="00846A5E" w:rsidP="00846A5E">
      <w:pPr>
        <w:keepNext/>
        <w:spacing w:after="0"/>
        <w:rPr>
          <w:rFonts w:ascii="Arial" w:hAnsi="Arial" w:cs="Arial"/>
          <w:color w:val="4091ED" w:themeColor="text1" w:themeTint="99"/>
          <w:sz w:val="28"/>
          <w:szCs w:val="28"/>
        </w:rPr>
      </w:pPr>
      <w:r w:rsidRPr="007969E9">
        <w:rPr>
          <w:rFonts w:ascii="Arial" w:hAnsi="Arial" w:cs="Arial"/>
          <w:color w:val="4091ED" w:themeColor="text1" w:themeTint="99"/>
          <w:sz w:val="28"/>
          <w:szCs w:val="28"/>
        </w:rPr>
        <w:t>Finance solution 3: Improving the procedures of budget formulation and execution of protected areas</w:t>
      </w:r>
      <w:r w:rsidR="00FD43FE" w:rsidRPr="007969E9">
        <w:rPr>
          <w:rFonts w:ascii="Arial" w:hAnsi="Arial" w:cs="Arial"/>
          <w:color w:val="4091ED" w:themeColor="text1" w:themeTint="99"/>
          <w:sz w:val="28"/>
          <w:szCs w:val="28"/>
        </w:rPr>
        <w:t xml:space="preserve"> (PAs)</w:t>
      </w:r>
      <w:r w:rsidRPr="007969E9">
        <w:rPr>
          <w:rFonts w:ascii="Arial" w:hAnsi="Arial" w:cs="Arial"/>
          <w:color w:val="4091ED" w:themeColor="text1" w:themeTint="99"/>
          <w:sz w:val="28"/>
          <w:szCs w:val="28"/>
        </w:rPr>
        <w:t xml:space="preserve"> and forestry enterprises</w:t>
      </w:r>
      <w:r w:rsidR="00FD43FE" w:rsidRPr="007969E9">
        <w:rPr>
          <w:rFonts w:ascii="Arial" w:hAnsi="Arial" w:cs="Arial"/>
          <w:color w:val="4091ED" w:themeColor="text1" w:themeTint="99"/>
          <w:sz w:val="28"/>
          <w:szCs w:val="28"/>
        </w:rPr>
        <w:t xml:space="preserve"> (FEs)</w:t>
      </w:r>
      <w:r w:rsidRPr="007969E9">
        <w:rPr>
          <w:rFonts w:ascii="Arial" w:hAnsi="Arial" w:cs="Arial"/>
          <w:color w:val="4091ED" w:themeColor="text1" w:themeTint="99"/>
          <w:sz w:val="28"/>
          <w:szCs w:val="28"/>
        </w:rPr>
        <w:t xml:space="preserve">   </w:t>
      </w:r>
    </w:p>
    <w:p w14:paraId="0BC44A9A" w14:textId="58D57C4C" w:rsidR="00846A5E" w:rsidRPr="007969E9" w:rsidRDefault="00846A5E" w:rsidP="00846A5E">
      <w:pPr>
        <w:keepNext/>
        <w:spacing w:after="0"/>
        <w:rPr>
          <w:rFonts w:ascii="Arial" w:hAnsi="Arial" w:cs="Arial"/>
          <w:color w:val="4091ED" w:themeColor="text1" w:themeTint="99"/>
          <w:sz w:val="28"/>
          <w:szCs w:val="28"/>
        </w:rPr>
      </w:pPr>
      <w:r w:rsidRPr="007969E9">
        <w:rPr>
          <w:rFonts w:ascii="Arial" w:hAnsi="Arial" w:cs="Arial"/>
          <w:color w:val="4091ED" w:themeColor="text1" w:themeTint="99"/>
          <w:sz w:val="28"/>
          <w:szCs w:val="28"/>
        </w:rPr>
        <w:t xml:space="preserve">Finance solution 4: Scaling up the adoption of performance </w:t>
      </w:r>
      <w:r w:rsidR="00FD43FE" w:rsidRPr="007969E9">
        <w:rPr>
          <w:rFonts w:ascii="Arial" w:hAnsi="Arial" w:cs="Arial"/>
          <w:color w:val="4091ED" w:themeColor="text1" w:themeTint="99"/>
          <w:sz w:val="28"/>
          <w:szCs w:val="28"/>
        </w:rPr>
        <w:t>programme-based</w:t>
      </w:r>
      <w:r w:rsidRPr="007969E9">
        <w:rPr>
          <w:rFonts w:ascii="Arial" w:hAnsi="Arial" w:cs="Arial"/>
          <w:color w:val="4091ED" w:themeColor="text1" w:themeTint="99"/>
          <w:sz w:val="28"/>
          <w:szCs w:val="28"/>
        </w:rPr>
        <w:t xml:space="preserve"> budgeting in PAs      </w:t>
      </w:r>
    </w:p>
    <w:p w14:paraId="046E9A11" w14:textId="77777777" w:rsidR="00846A5E" w:rsidRPr="007969E9" w:rsidRDefault="00846A5E" w:rsidP="00846A5E">
      <w:pPr>
        <w:keepNext/>
        <w:spacing w:after="0"/>
        <w:rPr>
          <w:rFonts w:ascii="Arial" w:hAnsi="Arial" w:cs="Arial"/>
          <w:color w:val="4091ED" w:themeColor="text1" w:themeTint="99"/>
          <w:sz w:val="28"/>
          <w:szCs w:val="28"/>
        </w:rPr>
      </w:pPr>
      <w:r w:rsidRPr="007969E9">
        <w:rPr>
          <w:rFonts w:ascii="Arial" w:hAnsi="Arial" w:cs="Arial"/>
          <w:color w:val="4091ED" w:themeColor="text1" w:themeTint="99"/>
          <w:sz w:val="28"/>
          <w:szCs w:val="28"/>
        </w:rPr>
        <w:t xml:space="preserve">Finance solution 5: Scaling up of the Financial Solutions No. 3 and 4   </w:t>
      </w:r>
    </w:p>
    <w:p w14:paraId="3CD3B973" w14:textId="77777777" w:rsidR="00C276FF" w:rsidRDefault="00C276FF" w:rsidP="00AD3D5E">
      <w:pPr>
        <w:jc w:val="both"/>
        <w:rPr>
          <w:rFonts w:ascii="Arial" w:hAnsi="Arial" w:cs="Arial"/>
        </w:rPr>
      </w:pPr>
      <w:r w:rsidRPr="00C276FF">
        <w:rPr>
          <w:rFonts w:ascii="Arial" w:hAnsi="Arial" w:cs="Arial"/>
        </w:rPr>
        <w:t>Financial Solutions 3, 4, and 5 were developed under the BIOFIN initiative in Kyrgyzstan to address longstanding inefficiencies in the public financing of environmental protection institutions, particularly Protected Areas (PAs) and Forestry Enterprises (FEs). The first phase of BIOFIN revealed critical challenges such as weak alignment between budgets and strategic plans, limited use of functional budget classifications, and significant delays in financing seasonal conservation activities—issues that undermined the operational capacity of PAs and FEs to fulfill biodiversity mandates.</w:t>
      </w:r>
    </w:p>
    <w:p w14:paraId="1FC56937" w14:textId="77777777" w:rsidR="00B41778" w:rsidRDefault="00B41778" w:rsidP="00AD3D5E">
      <w:pPr>
        <w:keepNext/>
        <w:spacing w:after="0"/>
        <w:jc w:val="both"/>
        <w:rPr>
          <w:rFonts w:ascii="Arial" w:hAnsi="Arial" w:cs="Arial"/>
        </w:rPr>
      </w:pPr>
      <w:r w:rsidRPr="00B41778">
        <w:rPr>
          <w:rFonts w:ascii="Arial" w:hAnsi="Arial" w:cs="Arial"/>
        </w:rPr>
        <w:t>Financial Solution 3 (FS3) focused on revising budget rules to establish clear and consistent principles for financing biodiversity conservation. Financial Solution 4 (FS4) aimed to enhance the efficiency and accountability of public financial management by aligning budget allocations with strategic goals and measurable results. Financial Solution 5 (FS5) built on these foundations, integrating the objectives of FS3 and FS4 to create an enabling environment for results-based budgeting and secure more adequate and performance-linked funding for biodiversity institutions.</w:t>
      </w:r>
    </w:p>
    <w:p w14:paraId="18F26AEA" w14:textId="77777777" w:rsidR="00B41778" w:rsidRDefault="00B41778" w:rsidP="00AD3D5E">
      <w:pPr>
        <w:keepNext/>
        <w:spacing w:after="0"/>
        <w:jc w:val="both"/>
        <w:rPr>
          <w:rFonts w:ascii="Arial" w:hAnsi="Arial" w:cs="Arial"/>
        </w:rPr>
      </w:pPr>
    </w:p>
    <w:p w14:paraId="65CCF24A" w14:textId="77777777" w:rsidR="00AD5151" w:rsidRPr="00AD5151" w:rsidRDefault="00AD5151" w:rsidP="001B76BE">
      <w:pPr>
        <w:keepNext/>
        <w:spacing w:after="0"/>
        <w:jc w:val="both"/>
        <w:rPr>
          <w:rFonts w:ascii="Arial" w:hAnsi="Arial" w:cs="Arial"/>
        </w:rPr>
      </w:pPr>
      <w:r w:rsidRPr="00AD5151">
        <w:rPr>
          <w:rFonts w:ascii="Arial" w:hAnsi="Arial" w:cs="Arial"/>
        </w:rPr>
        <w:t xml:space="preserve">By the end of 2024, implementation of all three Financial Solutions was completed. With BIOFIN support, program-based budgeting (PBB) was introduced across all PAs and FEs </w:t>
      </w:r>
      <w:r w:rsidRPr="00AD5151">
        <w:rPr>
          <w:rFonts w:ascii="Arial" w:hAnsi="Arial" w:cs="Arial"/>
        </w:rPr>
        <w:lastRenderedPageBreak/>
        <w:t>through the development and official endorsement of sector-specific methodological guidelines, comprehensive training programs, and the development of structured management plans for all PAs.</w:t>
      </w:r>
    </w:p>
    <w:p w14:paraId="0277F088" w14:textId="77777777" w:rsidR="00AD5151" w:rsidRPr="00AD5151" w:rsidRDefault="00AD5151" w:rsidP="001B76BE">
      <w:pPr>
        <w:keepNext/>
        <w:spacing w:after="0"/>
        <w:jc w:val="both"/>
        <w:rPr>
          <w:rFonts w:ascii="Arial" w:hAnsi="Arial" w:cs="Arial"/>
        </w:rPr>
      </w:pPr>
    </w:p>
    <w:p w14:paraId="4E53373F" w14:textId="77777777" w:rsidR="00AD5151" w:rsidRPr="00AD5151" w:rsidRDefault="00AD5151" w:rsidP="001B76BE">
      <w:pPr>
        <w:keepNext/>
        <w:spacing w:after="0"/>
        <w:jc w:val="both"/>
        <w:rPr>
          <w:rFonts w:ascii="Arial" w:hAnsi="Arial" w:cs="Arial"/>
        </w:rPr>
      </w:pPr>
      <w:r w:rsidRPr="00AD5151">
        <w:rPr>
          <w:rFonts w:ascii="Arial" w:hAnsi="Arial" w:cs="Arial"/>
        </w:rPr>
        <w:t>To sustain this progress, follow-up support is necessary to reinforce institutional capacity, foster a cultural shift toward performance-based planning, and ensure continued alignment with evolving national budgeting regulations. In 2025, the Ministry of Finance initiated revisions to the Instruction on the Formation, Review, and Execution of Program-Based Budgets. Once adopted, these changes will require corresponding updates to the sectoral PBB guidelines used by PAs and FEs.</w:t>
      </w:r>
    </w:p>
    <w:p w14:paraId="697B3B50" w14:textId="77777777" w:rsidR="00AD5151" w:rsidRPr="00AD5151" w:rsidRDefault="00AD5151" w:rsidP="001B76BE">
      <w:pPr>
        <w:keepNext/>
        <w:spacing w:after="0"/>
        <w:jc w:val="both"/>
        <w:rPr>
          <w:rFonts w:ascii="Arial" w:hAnsi="Arial" w:cs="Arial"/>
        </w:rPr>
      </w:pPr>
    </w:p>
    <w:p w14:paraId="160DF2E3" w14:textId="37875439" w:rsidR="00912D09" w:rsidRPr="007969E9" w:rsidRDefault="00AD5151" w:rsidP="001B76BE">
      <w:pPr>
        <w:keepNext/>
        <w:spacing w:after="0"/>
        <w:jc w:val="both"/>
        <w:rPr>
          <w:rFonts w:ascii="Arial" w:hAnsi="Arial" w:cs="Arial"/>
        </w:rPr>
      </w:pPr>
      <w:r w:rsidRPr="00AD5151">
        <w:rPr>
          <w:rFonts w:ascii="Arial" w:hAnsi="Arial" w:cs="Arial"/>
        </w:rPr>
        <w:t>To support the next phase of implementation, BIOFIN Kyrgyzstan has secured new funding from the European Union. This funding will focus on continued technical assistance, institutional support, and capacity building to ensure the full and sustainable integration of program-based budgeting in the environmental sector. The specific scope of work will be defined following finalization of the revised national PBB framework.</w:t>
      </w:r>
    </w:p>
    <w:p w14:paraId="533E4B45" w14:textId="77777777" w:rsidR="009A0B9A" w:rsidRPr="007969E9" w:rsidRDefault="009A0B9A" w:rsidP="00846A5E">
      <w:pPr>
        <w:keepNext/>
        <w:spacing w:after="0"/>
        <w:rPr>
          <w:rFonts w:ascii="Arial" w:hAnsi="Arial" w:cs="Arial"/>
        </w:rPr>
      </w:pPr>
    </w:p>
    <w:p w14:paraId="062E9F6D" w14:textId="77777777" w:rsidR="00846A5E" w:rsidRPr="007969E9" w:rsidRDefault="00846A5E" w:rsidP="00846A5E">
      <w:pPr>
        <w:keepNext/>
        <w:spacing w:after="0"/>
        <w:rPr>
          <w:rFonts w:ascii="Arial" w:hAnsi="Arial" w:cs="Arial"/>
          <w:color w:val="4091ED" w:themeColor="text1" w:themeTint="99"/>
          <w:sz w:val="28"/>
          <w:szCs w:val="28"/>
        </w:rPr>
      </w:pPr>
      <w:bookmarkStart w:id="15" w:name="_Hlk172109816"/>
      <w:r w:rsidRPr="007969E9">
        <w:rPr>
          <w:rFonts w:ascii="Arial" w:hAnsi="Arial" w:cs="Arial"/>
          <w:color w:val="4091ED" w:themeColor="text1" w:themeTint="99"/>
          <w:sz w:val="28"/>
          <w:szCs w:val="28"/>
        </w:rPr>
        <w:t>Finance solution 6: Debt-for-Nature Swap in the Kyrgyz Republic</w:t>
      </w:r>
    </w:p>
    <w:p w14:paraId="2EA24197" w14:textId="77777777" w:rsidR="00B6332F" w:rsidRPr="00B6332F" w:rsidRDefault="00B6332F" w:rsidP="001B76BE">
      <w:pPr>
        <w:keepNext/>
        <w:spacing w:after="0"/>
        <w:jc w:val="both"/>
        <w:rPr>
          <w:rFonts w:ascii="Arial" w:hAnsi="Arial" w:cs="Arial"/>
        </w:rPr>
      </w:pPr>
      <w:bookmarkStart w:id="16" w:name="_Hlk157161172"/>
      <w:bookmarkEnd w:id="15"/>
      <w:r w:rsidRPr="00B6332F">
        <w:rPr>
          <w:rFonts w:ascii="Arial" w:hAnsi="Arial" w:cs="Arial"/>
        </w:rPr>
        <w:t>The Debt-for-Nature Swap (DfNS) presents a strategic opportunity for Kyrgyzstan to mobilize additional funding for environmental protection without reducing expenditures in other critical sectors. This financial solution is designed to guide the Government of Kyrgyzstan through the planning, negotiation, and implementation of a DfNS mechanism, with technical support including analytical reports, policy recommendations, a detailed roadmap, and capacity building for key government stakeholders—primarily the Ministry of Finance.</w:t>
      </w:r>
    </w:p>
    <w:p w14:paraId="21BB0677" w14:textId="77777777" w:rsidR="00B6332F" w:rsidRPr="00B6332F" w:rsidRDefault="00B6332F" w:rsidP="001B76BE">
      <w:pPr>
        <w:keepNext/>
        <w:spacing w:after="0"/>
        <w:jc w:val="both"/>
        <w:rPr>
          <w:rFonts w:ascii="Arial" w:hAnsi="Arial" w:cs="Arial"/>
        </w:rPr>
      </w:pPr>
    </w:p>
    <w:p w14:paraId="1EF3B715" w14:textId="77777777" w:rsidR="00B6332F" w:rsidRPr="00B6332F" w:rsidRDefault="00B6332F" w:rsidP="001B76BE">
      <w:pPr>
        <w:keepNext/>
        <w:spacing w:after="0"/>
        <w:jc w:val="both"/>
        <w:rPr>
          <w:rFonts w:ascii="Arial" w:hAnsi="Arial" w:cs="Arial"/>
        </w:rPr>
      </w:pPr>
      <w:r w:rsidRPr="00B6332F">
        <w:rPr>
          <w:rFonts w:ascii="Arial" w:hAnsi="Arial" w:cs="Arial"/>
        </w:rPr>
        <w:t>Based on the findings of a feasibility study conducted in previous reporting periods, Germany was identified as a promising potential creditor for a DfNS arrangement. In May 2024, UNDP facilitated consultations with the German Representation Office (GRO), presenting a concept note on the Conservation Trust Fund (CTF) and briefing materials on Germany’s DfNS instruments. Although the GRO expressed openness to supporting initial dialogue and connecting Kyrgyzstan with key stakeholders at Germany’s Federal Ministry for Economic Cooperation and Development (BMZ), these efforts have not yet produced tangible results.</w:t>
      </w:r>
    </w:p>
    <w:p w14:paraId="06C36EC8" w14:textId="77777777" w:rsidR="00B6332F" w:rsidRPr="00B6332F" w:rsidRDefault="00B6332F" w:rsidP="001B76BE">
      <w:pPr>
        <w:keepNext/>
        <w:spacing w:after="0"/>
        <w:jc w:val="both"/>
        <w:rPr>
          <w:rFonts w:ascii="Arial" w:hAnsi="Arial" w:cs="Arial"/>
        </w:rPr>
      </w:pPr>
    </w:p>
    <w:p w14:paraId="127DB372" w14:textId="77777777" w:rsidR="00B6332F" w:rsidRPr="00B6332F" w:rsidRDefault="00B6332F" w:rsidP="001B76BE">
      <w:pPr>
        <w:keepNext/>
        <w:spacing w:after="0"/>
        <w:jc w:val="both"/>
        <w:rPr>
          <w:rFonts w:ascii="Arial" w:hAnsi="Arial" w:cs="Arial"/>
        </w:rPr>
      </w:pPr>
      <w:r w:rsidRPr="00B6332F">
        <w:rPr>
          <w:rFonts w:ascii="Arial" w:hAnsi="Arial" w:cs="Arial"/>
        </w:rPr>
        <w:t>To support future engagement, BIOFIN developed a comprehensive set of briefing materials and debt analyses to inform upcoming high-level discussions between UNDP and the German government. However, the planned visit and negotiations did not take place during the reporting period.</w:t>
      </w:r>
    </w:p>
    <w:p w14:paraId="7B59C625" w14:textId="77777777" w:rsidR="00B6332F" w:rsidRPr="00B6332F" w:rsidRDefault="00B6332F" w:rsidP="001B76BE">
      <w:pPr>
        <w:keepNext/>
        <w:spacing w:after="0"/>
        <w:jc w:val="both"/>
        <w:rPr>
          <w:rFonts w:ascii="Arial" w:hAnsi="Arial" w:cs="Arial"/>
        </w:rPr>
      </w:pPr>
    </w:p>
    <w:p w14:paraId="321C6398" w14:textId="3E138050" w:rsidR="003E6387" w:rsidRDefault="00B6332F" w:rsidP="001B76BE">
      <w:pPr>
        <w:keepNext/>
        <w:spacing w:after="0"/>
        <w:jc w:val="both"/>
        <w:rPr>
          <w:rFonts w:ascii="Arial" w:hAnsi="Arial" w:cs="Arial"/>
        </w:rPr>
      </w:pPr>
      <w:r w:rsidRPr="00B6332F">
        <w:rPr>
          <w:rFonts w:ascii="Arial" w:hAnsi="Arial" w:cs="Arial"/>
        </w:rPr>
        <w:t xml:space="preserve">Further advancement of the DfNS agenda will resume once the Conservation Trust Fund is fully operationalized. Drawing on international experience, it is evident that creditors require a credible, independent implementation mechanism to manage the financial flows from a debt swap transparently and effectively. The CTF is positioned to fulfill this role, serving as a trusted </w:t>
      </w:r>
      <w:r w:rsidRPr="00B6332F">
        <w:rPr>
          <w:rFonts w:ascii="Arial" w:hAnsi="Arial" w:cs="Arial"/>
        </w:rPr>
        <w:lastRenderedPageBreak/>
        <w:t>vehicle for channeling DfNS proceeds toward priority biodiversity and climate-related objectives in Kyrgyzstan.</w:t>
      </w:r>
    </w:p>
    <w:p w14:paraId="30BA9C16" w14:textId="77777777" w:rsidR="00B6332F" w:rsidRPr="007969E9" w:rsidRDefault="00B6332F" w:rsidP="001B76BE">
      <w:pPr>
        <w:keepNext/>
        <w:spacing w:after="0"/>
        <w:jc w:val="both"/>
        <w:rPr>
          <w:rFonts w:ascii="Arial" w:hAnsi="Arial" w:cs="Arial"/>
        </w:rPr>
      </w:pPr>
    </w:p>
    <w:p w14:paraId="50228697" w14:textId="33968FEE" w:rsidR="00467B16" w:rsidRPr="007969E9" w:rsidRDefault="00200118" w:rsidP="00200118">
      <w:pPr>
        <w:keepNext/>
        <w:spacing w:after="0"/>
        <w:rPr>
          <w:rFonts w:ascii="Arial" w:hAnsi="Arial" w:cs="Arial"/>
          <w:color w:val="4091ED" w:themeColor="text1" w:themeTint="99"/>
          <w:sz w:val="28"/>
          <w:szCs w:val="28"/>
        </w:rPr>
      </w:pPr>
      <w:r w:rsidRPr="007969E9">
        <w:rPr>
          <w:rFonts w:ascii="Arial" w:hAnsi="Arial" w:cs="Arial"/>
          <w:color w:val="4091ED" w:themeColor="text1" w:themeTint="99"/>
          <w:sz w:val="28"/>
          <w:szCs w:val="28"/>
        </w:rPr>
        <w:t xml:space="preserve">Finance solution </w:t>
      </w:r>
      <w:r w:rsidR="007007D7" w:rsidRPr="007969E9">
        <w:rPr>
          <w:rFonts w:ascii="Arial" w:hAnsi="Arial" w:cs="Arial"/>
          <w:color w:val="4091ED" w:themeColor="text1" w:themeTint="99"/>
          <w:sz w:val="28"/>
          <w:szCs w:val="28"/>
        </w:rPr>
        <w:t>7</w:t>
      </w:r>
      <w:r w:rsidRPr="007969E9">
        <w:rPr>
          <w:rFonts w:ascii="Arial" w:hAnsi="Arial" w:cs="Arial"/>
          <w:color w:val="4091ED" w:themeColor="text1" w:themeTint="99"/>
          <w:sz w:val="28"/>
          <w:szCs w:val="28"/>
        </w:rPr>
        <w:t xml:space="preserve">: </w:t>
      </w:r>
      <w:r w:rsidR="007007D7" w:rsidRPr="007969E9">
        <w:rPr>
          <w:rFonts w:ascii="Arial" w:hAnsi="Arial" w:cs="Arial"/>
          <w:color w:val="4091ED" w:themeColor="text1" w:themeTint="99"/>
          <w:sz w:val="28"/>
          <w:szCs w:val="28"/>
        </w:rPr>
        <w:t>Introduction of an effective system of financial self-sufficiency in protected areas (PAs)</w:t>
      </w:r>
    </w:p>
    <w:p w14:paraId="0849999F" w14:textId="777DD231" w:rsidR="00CB497F" w:rsidRPr="007969E9" w:rsidRDefault="00FE6C9B" w:rsidP="006B4AF7">
      <w:pPr>
        <w:jc w:val="both"/>
        <w:rPr>
          <w:rFonts w:ascii="Arial" w:hAnsi="Arial" w:cs="Arial"/>
        </w:rPr>
      </w:pPr>
      <w:bookmarkStart w:id="17" w:name="_Hlk157264878"/>
      <w:bookmarkEnd w:id="16"/>
      <w:r w:rsidRPr="00FE6C9B">
        <w:rPr>
          <w:rFonts w:ascii="Arial" w:hAnsi="Arial" w:cs="Arial"/>
        </w:rPr>
        <w:t>This financial solution addresses the urgent need to diversify and strengthen financing mechanisms for biodiversity conservation in Kyrgyzstan. With limited prospects for increased allocations from the state budget, establishing reliable and credible sources of revenue beyond public funding is essential to ensure the long-term sustainability of conservation efforts.</w:t>
      </w:r>
      <w:r>
        <w:rPr>
          <w:rFonts w:ascii="Arial" w:hAnsi="Arial" w:cs="Arial"/>
        </w:rPr>
        <w:t xml:space="preserve"> </w:t>
      </w:r>
    </w:p>
    <w:p w14:paraId="656A9441" w14:textId="77777777" w:rsidR="000A5C49" w:rsidRDefault="000A5C49" w:rsidP="00BA69C6">
      <w:pPr>
        <w:jc w:val="both"/>
        <w:rPr>
          <w:rFonts w:ascii="Arial" w:hAnsi="Arial" w:cs="Arial"/>
        </w:rPr>
      </w:pPr>
      <w:r w:rsidRPr="000A5C49">
        <w:rPr>
          <w:rFonts w:ascii="Arial" w:hAnsi="Arial" w:cs="Arial"/>
        </w:rPr>
        <w:t>The solution aims to lay the groundwork for necessary institutional reforms—both organizational and regulatory—to support the implementation of various income-generating mechanisms for Protected Areas (PAs).</w:t>
      </w:r>
    </w:p>
    <w:p w14:paraId="66748F32" w14:textId="7628CD7A" w:rsidR="00220621" w:rsidRPr="00A96670" w:rsidRDefault="00220621" w:rsidP="00A96670">
      <w:pPr>
        <w:jc w:val="both"/>
        <w:rPr>
          <w:rFonts w:ascii="Arial" w:hAnsi="Arial" w:cs="Arial"/>
        </w:rPr>
      </w:pPr>
      <w:r w:rsidRPr="00A96670">
        <w:rPr>
          <w:rFonts w:ascii="Arial" w:hAnsi="Arial" w:cs="Arial"/>
        </w:rPr>
        <w:t>During the previous reporting period, a feasibility study identified six viable income-generation options for PAs. Following consultations, the Department of Biodiversity and Protected Areas Conservation (DBPCA) selected three priority options for immediate development:</w:t>
      </w:r>
    </w:p>
    <w:p w14:paraId="2ADC85E5" w14:textId="48970768" w:rsidR="00220621" w:rsidRPr="00A96670" w:rsidRDefault="00220621" w:rsidP="00A96670">
      <w:pPr>
        <w:pStyle w:val="af8"/>
        <w:numPr>
          <w:ilvl w:val="0"/>
          <w:numId w:val="21"/>
        </w:numPr>
        <w:jc w:val="both"/>
        <w:rPr>
          <w:rFonts w:ascii="Arial" w:hAnsi="Arial" w:cs="Arial"/>
        </w:rPr>
      </w:pPr>
      <w:r w:rsidRPr="00220621">
        <w:rPr>
          <w:rFonts w:ascii="Arial" w:hAnsi="Arial" w:cs="Arial"/>
        </w:rPr>
        <w:t>Adjusting entrance fees and expanding tourism-related services,</w:t>
      </w:r>
    </w:p>
    <w:p w14:paraId="271F87AC" w14:textId="23AFD151" w:rsidR="00220621" w:rsidRPr="00A96670" w:rsidRDefault="00220621" w:rsidP="00A96670">
      <w:pPr>
        <w:pStyle w:val="af8"/>
        <w:numPr>
          <w:ilvl w:val="0"/>
          <w:numId w:val="21"/>
        </w:numPr>
        <w:jc w:val="both"/>
        <w:rPr>
          <w:rFonts w:ascii="Arial" w:hAnsi="Arial" w:cs="Arial"/>
        </w:rPr>
      </w:pPr>
      <w:r w:rsidRPr="00220621">
        <w:rPr>
          <w:rFonts w:ascii="Arial" w:hAnsi="Arial" w:cs="Arial"/>
        </w:rPr>
        <w:t>Streamlining the allocation of land lease revenues into special accounts, including legislative revisions,</w:t>
      </w:r>
    </w:p>
    <w:p w14:paraId="7FA4A1BB" w14:textId="77777777" w:rsidR="00220621" w:rsidRPr="00220621" w:rsidRDefault="00220621" w:rsidP="00A96670">
      <w:pPr>
        <w:pStyle w:val="af8"/>
        <w:numPr>
          <w:ilvl w:val="0"/>
          <w:numId w:val="21"/>
        </w:numPr>
        <w:jc w:val="both"/>
        <w:rPr>
          <w:rFonts w:ascii="Arial" w:hAnsi="Arial" w:cs="Arial"/>
        </w:rPr>
      </w:pPr>
      <w:r w:rsidRPr="00220621">
        <w:rPr>
          <w:rFonts w:ascii="Arial" w:hAnsi="Arial" w:cs="Arial"/>
        </w:rPr>
        <w:t>Accessing funding from regional development funds.</w:t>
      </w:r>
    </w:p>
    <w:p w14:paraId="11C60092" w14:textId="758BDE72" w:rsidR="002866AF" w:rsidRPr="002866AF" w:rsidRDefault="002866AF" w:rsidP="002866AF">
      <w:pPr>
        <w:jc w:val="both"/>
        <w:rPr>
          <w:rFonts w:ascii="Arial" w:hAnsi="Arial" w:cs="Arial"/>
          <w:i/>
          <w:iCs/>
        </w:rPr>
      </w:pPr>
      <w:r w:rsidRPr="002866AF">
        <w:rPr>
          <w:rFonts w:ascii="Arial" w:hAnsi="Arial" w:cs="Arial"/>
          <w:i/>
          <w:iCs/>
        </w:rPr>
        <w:t>Intervention 1. Re</w:t>
      </w:r>
      <w:r w:rsidR="005B1B63">
        <w:rPr>
          <w:rFonts w:ascii="Arial" w:hAnsi="Arial" w:cs="Arial"/>
          <w:i/>
          <w:iCs/>
        </w:rPr>
        <w:t>vision</w:t>
      </w:r>
      <w:r w:rsidRPr="002866AF">
        <w:rPr>
          <w:rFonts w:ascii="Arial" w:hAnsi="Arial" w:cs="Arial"/>
          <w:i/>
          <w:iCs/>
        </w:rPr>
        <w:t xml:space="preserve"> of Entrance Fees for Protected Areas and Forest Enterprises</w:t>
      </w:r>
    </w:p>
    <w:p w14:paraId="32B31B72" w14:textId="5033BBD3" w:rsidR="002866AF" w:rsidRPr="002866AF" w:rsidRDefault="00055EB4" w:rsidP="002866AF">
      <w:pPr>
        <w:jc w:val="both"/>
        <w:rPr>
          <w:rFonts w:ascii="Arial" w:hAnsi="Arial" w:cs="Arial"/>
        </w:rPr>
      </w:pPr>
      <w:r>
        <w:rPr>
          <w:rFonts w:ascii="Arial" w:hAnsi="Arial" w:cs="Arial"/>
        </w:rPr>
        <w:t>This intervention aims</w:t>
      </w:r>
      <w:r w:rsidR="002866AF" w:rsidRPr="002866AF">
        <w:rPr>
          <w:rFonts w:ascii="Arial" w:hAnsi="Arial" w:cs="Arial"/>
        </w:rPr>
        <w:t xml:space="preserve"> to transform entrance fees from a nominal charge into an effective, transparent, and sustainable conservation financing instrument.</w:t>
      </w:r>
    </w:p>
    <w:p w14:paraId="0E6F87FE" w14:textId="3ABD5304" w:rsidR="002866AF" w:rsidRPr="002866AF" w:rsidRDefault="002866AF" w:rsidP="002866AF">
      <w:pPr>
        <w:jc w:val="both"/>
        <w:rPr>
          <w:rFonts w:ascii="Arial" w:hAnsi="Arial" w:cs="Arial"/>
        </w:rPr>
      </w:pPr>
      <w:r w:rsidRPr="002866AF">
        <w:rPr>
          <w:rFonts w:ascii="Arial" w:hAnsi="Arial" w:cs="Arial"/>
        </w:rPr>
        <w:t>During the reporting period, BIOFIN completed the full analytical and methodological groundwork required for reforming entrance fees across selected PAs and FEs. This included regulatory and legal analysis, assessment of current fee levels and retention practices, evaluation of ecotourism infrastructure, and estimation of visitors’ willingness and ability to pay.</w:t>
      </w:r>
    </w:p>
    <w:p w14:paraId="6B91A45E" w14:textId="4BF95575" w:rsidR="002866AF" w:rsidRPr="002866AF" w:rsidRDefault="002866AF" w:rsidP="002866AF">
      <w:pPr>
        <w:jc w:val="both"/>
        <w:rPr>
          <w:rFonts w:ascii="Arial" w:hAnsi="Arial" w:cs="Arial"/>
        </w:rPr>
      </w:pPr>
      <w:r w:rsidRPr="002866AF">
        <w:rPr>
          <w:rFonts w:ascii="Arial" w:hAnsi="Arial" w:cs="Arial"/>
        </w:rPr>
        <w:t>The analysis revealed that while a legal basis for entrance fees exists, systemic weaknesses—including fragmented regulations, non-standardized fee administration, limited visitor accounting, and low digitalization—significantly constrain revenue potential and management effectiveness. Current fees were found to be largely symbolic and insufficient to cover real conservation and maintenance costs.</w:t>
      </w:r>
    </w:p>
    <w:p w14:paraId="4D95339E" w14:textId="248AEA22" w:rsidR="002866AF" w:rsidRDefault="002866AF" w:rsidP="002866AF">
      <w:pPr>
        <w:jc w:val="both"/>
        <w:rPr>
          <w:rFonts w:ascii="Arial" w:hAnsi="Arial" w:cs="Arial"/>
        </w:rPr>
      </w:pPr>
      <w:r w:rsidRPr="002866AF">
        <w:rPr>
          <w:rFonts w:ascii="Arial" w:hAnsi="Arial" w:cs="Arial"/>
        </w:rPr>
        <w:t xml:space="preserve">As a result, two reform scenarios were developed (a unified centralized model and a standardized differentiated model), alongside practical recommendations on tariff setting, administration, marketing, and governance. These outputs provide a robust evidence base for </w:t>
      </w:r>
      <w:r w:rsidRPr="002866AF">
        <w:rPr>
          <w:rFonts w:ascii="Arial" w:hAnsi="Arial" w:cs="Arial"/>
        </w:rPr>
        <w:lastRenderedPageBreak/>
        <w:t>the second phase</w:t>
      </w:r>
      <w:r w:rsidR="00714009">
        <w:rPr>
          <w:rFonts w:ascii="Arial" w:hAnsi="Arial" w:cs="Arial"/>
        </w:rPr>
        <w:t xml:space="preserve"> of the intervention</w:t>
      </w:r>
      <w:r w:rsidRPr="002866AF">
        <w:rPr>
          <w:rFonts w:ascii="Arial" w:hAnsi="Arial" w:cs="Arial"/>
        </w:rPr>
        <w:t xml:space="preserve"> in 2026, which will focus on adopting and implementing revised entrance fee tariffs.</w:t>
      </w:r>
    </w:p>
    <w:p w14:paraId="381E14C6" w14:textId="1CAC6895" w:rsidR="005B1B63" w:rsidRPr="00264F79" w:rsidRDefault="005B1B63" w:rsidP="005B1B63">
      <w:pPr>
        <w:jc w:val="both"/>
        <w:rPr>
          <w:rFonts w:ascii="Arial" w:hAnsi="Arial" w:cs="Arial"/>
          <w:i/>
          <w:iCs/>
        </w:rPr>
      </w:pPr>
      <w:r w:rsidRPr="005B1B63">
        <w:rPr>
          <w:rFonts w:ascii="Arial" w:hAnsi="Arial" w:cs="Arial"/>
          <w:i/>
          <w:iCs/>
        </w:rPr>
        <w:t>Intervention 2. Strengthening Access of PAs and FEs to Regional Development Funds (RDFs)</w:t>
      </w:r>
    </w:p>
    <w:p w14:paraId="779FF48C" w14:textId="0BE8FF29" w:rsidR="005B1B63" w:rsidRPr="005B1B63" w:rsidRDefault="00B51A54" w:rsidP="005B1B63">
      <w:pPr>
        <w:jc w:val="both"/>
        <w:rPr>
          <w:rFonts w:ascii="Arial" w:hAnsi="Arial" w:cs="Arial"/>
        </w:rPr>
      </w:pPr>
      <w:r>
        <w:rPr>
          <w:rFonts w:ascii="Arial" w:hAnsi="Arial" w:cs="Arial"/>
        </w:rPr>
        <w:t>This intervention</w:t>
      </w:r>
      <w:r w:rsidR="00264F79">
        <w:rPr>
          <w:rFonts w:ascii="Arial" w:hAnsi="Arial" w:cs="Arial"/>
        </w:rPr>
        <w:t xml:space="preserve"> aims to address the </w:t>
      </w:r>
      <w:r w:rsidR="005B1B63" w:rsidRPr="005B1B63">
        <w:rPr>
          <w:rFonts w:ascii="Arial" w:hAnsi="Arial" w:cs="Arial"/>
        </w:rPr>
        <w:t xml:space="preserve">Institutional barriers limiting PA and FE access to </w:t>
      </w:r>
      <w:r w:rsidR="00264F79">
        <w:rPr>
          <w:rFonts w:ascii="Arial" w:hAnsi="Arial" w:cs="Arial"/>
        </w:rPr>
        <w:t xml:space="preserve">the financing from the </w:t>
      </w:r>
      <w:r w:rsidR="005A1304">
        <w:rPr>
          <w:rFonts w:ascii="Arial" w:hAnsi="Arial" w:cs="Arial"/>
        </w:rPr>
        <w:t>regional</w:t>
      </w:r>
      <w:r w:rsidR="00264F79">
        <w:rPr>
          <w:rFonts w:ascii="Arial" w:hAnsi="Arial" w:cs="Arial"/>
        </w:rPr>
        <w:t xml:space="preserve"> development funds</w:t>
      </w:r>
      <w:r w:rsidR="004825BB">
        <w:rPr>
          <w:rFonts w:ascii="Arial" w:hAnsi="Arial" w:cs="Arial"/>
        </w:rPr>
        <w:t xml:space="preserve"> -</w:t>
      </w:r>
      <w:r w:rsidR="00D67CFD">
        <w:rPr>
          <w:rFonts w:ascii="Arial" w:hAnsi="Arial" w:cs="Arial"/>
        </w:rPr>
        <w:t xml:space="preserve"> </w:t>
      </w:r>
      <w:r w:rsidR="004825BB" w:rsidRPr="004825BB">
        <w:rPr>
          <w:rFonts w:ascii="Arial" w:hAnsi="Arial" w:cs="Arial"/>
        </w:rPr>
        <w:t>organizations established to support and stimulate the socio-economic development of the country's regions</w:t>
      </w:r>
      <w:r w:rsidR="00F81863">
        <w:rPr>
          <w:rFonts w:ascii="Arial" w:hAnsi="Arial" w:cs="Arial"/>
        </w:rPr>
        <w:t xml:space="preserve">: </w:t>
      </w:r>
      <w:r w:rsidR="00F81863" w:rsidRPr="00F81863">
        <w:rPr>
          <w:rFonts w:ascii="Arial" w:hAnsi="Arial" w:cs="Arial"/>
        </w:rPr>
        <w:t xml:space="preserve"> to strengthen the ability of PAs and FEs to secure funding from RDFs, establish mechanisms for regular cooperation with these funds, and advocate for the inclusion of dedicated biodiversity quotas in regional financing frameworks.</w:t>
      </w:r>
    </w:p>
    <w:p w14:paraId="47D25445" w14:textId="1E09A970" w:rsidR="005B1B63" w:rsidRPr="005B1B63" w:rsidRDefault="00D0251D" w:rsidP="005B1B63">
      <w:pPr>
        <w:jc w:val="both"/>
        <w:rPr>
          <w:rFonts w:ascii="Arial" w:hAnsi="Arial" w:cs="Arial"/>
        </w:rPr>
      </w:pPr>
      <w:r>
        <w:rPr>
          <w:rFonts w:ascii="Arial" w:hAnsi="Arial" w:cs="Arial"/>
        </w:rPr>
        <w:t xml:space="preserve">During the reporting period, </w:t>
      </w:r>
      <w:r w:rsidR="005B1B63" w:rsidRPr="005B1B63">
        <w:rPr>
          <w:rFonts w:ascii="Arial" w:hAnsi="Arial" w:cs="Arial"/>
        </w:rPr>
        <w:t>BIOFIN conducted a comprehensive review of the regulatory, institutional, and procedural framework governing Regional Development Funds (RDFs) and identified key constraints preventing PA and FE participation—most notably limited technical capacity to prepare competitive applications.</w:t>
      </w:r>
    </w:p>
    <w:p w14:paraId="3AE9E535" w14:textId="6C502F11" w:rsidR="005B1B63" w:rsidRPr="005B1B63" w:rsidRDefault="005B1B63" w:rsidP="005B1B63">
      <w:pPr>
        <w:jc w:val="both"/>
        <w:rPr>
          <w:rFonts w:ascii="Arial" w:hAnsi="Arial" w:cs="Arial"/>
        </w:rPr>
      </w:pPr>
      <w:r w:rsidRPr="005B1B63">
        <w:rPr>
          <w:rFonts w:ascii="Arial" w:hAnsi="Arial" w:cs="Arial"/>
        </w:rPr>
        <w:t>In response, BIOFIN delivered practical, implementation-ready tools, including:</w:t>
      </w:r>
    </w:p>
    <w:p w14:paraId="4EA4A25C" w14:textId="7FAA94BC" w:rsidR="005B1B63" w:rsidRPr="00D0251D" w:rsidRDefault="005B1B63" w:rsidP="00D0251D">
      <w:pPr>
        <w:pStyle w:val="af8"/>
        <w:numPr>
          <w:ilvl w:val="0"/>
          <w:numId w:val="42"/>
        </w:numPr>
        <w:ind w:left="360"/>
        <w:jc w:val="both"/>
        <w:rPr>
          <w:rFonts w:ascii="Arial" w:hAnsi="Arial" w:cs="Arial"/>
        </w:rPr>
      </w:pPr>
      <w:r w:rsidRPr="00D0251D">
        <w:rPr>
          <w:rFonts w:ascii="Arial" w:hAnsi="Arial" w:cs="Arial"/>
        </w:rPr>
        <w:t>Step-by-step application guidelines covering the full RDF project cycle;</w:t>
      </w:r>
    </w:p>
    <w:p w14:paraId="13C46322" w14:textId="53C3C86B" w:rsidR="005B1B63" w:rsidRPr="00D0251D" w:rsidRDefault="005B1B63" w:rsidP="00D0251D">
      <w:pPr>
        <w:pStyle w:val="af8"/>
        <w:numPr>
          <w:ilvl w:val="0"/>
          <w:numId w:val="42"/>
        </w:numPr>
        <w:ind w:left="360"/>
        <w:jc w:val="both"/>
        <w:rPr>
          <w:rFonts w:ascii="Arial" w:hAnsi="Arial" w:cs="Arial"/>
        </w:rPr>
      </w:pPr>
      <w:r w:rsidRPr="00D0251D">
        <w:rPr>
          <w:rFonts w:ascii="Arial" w:hAnsi="Arial" w:cs="Arial"/>
        </w:rPr>
        <w:t xml:space="preserve">Standardized proposal templates for common </w:t>
      </w:r>
      <w:r w:rsidR="00225C9D" w:rsidRPr="00225C9D">
        <w:rPr>
          <w:rFonts w:ascii="Arial" w:hAnsi="Arial" w:cs="Arial"/>
        </w:rPr>
        <w:t>economic and social-infrastructure project types</w:t>
      </w:r>
      <w:r w:rsidR="00225C9D">
        <w:rPr>
          <w:rFonts w:ascii="Arial" w:hAnsi="Arial" w:cs="Arial"/>
        </w:rPr>
        <w:t xml:space="preserve"> </w:t>
      </w:r>
      <w:r w:rsidRPr="00D0251D">
        <w:rPr>
          <w:rFonts w:ascii="Arial" w:hAnsi="Arial" w:cs="Arial"/>
        </w:rPr>
        <w:t>and nature-based solution projects;</w:t>
      </w:r>
    </w:p>
    <w:p w14:paraId="701BBCD5" w14:textId="77777777" w:rsidR="005B1B63" w:rsidRPr="00D0251D" w:rsidRDefault="005B1B63" w:rsidP="00D0251D">
      <w:pPr>
        <w:pStyle w:val="af8"/>
        <w:numPr>
          <w:ilvl w:val="0"/>
          <w:numId w:val="42"/>
        </w:numPr>
        <w:ind w:left="360"/>
        <w:jc w:val="both"/>
        <w:rPr>
          <w:rFonts w:ascii="Arial" w:hAnsi="Arial" w:cs="Arial"/>
        </w:rPr>
      </w:pPr>
      <w:r w:rsidRPr="00D0251D">
        <w:rPr>
          <w:rFonts w:ascii="Arial" w:hAnsi="Arial" w:cs="Arial"/>
        </w:rPr>
        <w:t>Targeted recommendations to improve alignment between RDF priorities and biodiversity objectives.</w:t>
      </w:r>
    </w:p>
    <w:p w14:paraId="64A1F239" w14:textId="76EA4BCE" w:rsidR="005B1B63" w:rsidRPr="005B1B63" w:rsidRDefault="005B1B63" w:rsidP="005B1B63">
      <w:pPr>
        <w:jc w:val="both"/>
        <w:rPr>
          <w:rFonts w:ascii="Arial" w:hAnsi="Arial" w:cs="Arial"/>
        </w:rPr>
      </w:pPr>
      <w:r w:rsidRPr="005B1B63">
        <w:rPr>
          <w:rFonts w:ascii="Arial" w:hAnsi="Arial" w:cs="Arial"/>
        </w:rPr>
        <w:t>The second phase</w:t>
      </w:r>
      <w:r w:rsidR="00462B75">
        <w:rPr>
          <w:rFonts w:ascii="Arial" w:hAnsi="Arial" w:cs="Arial"/>
        </w:rPr>
        <w:t xml:space="preserve"> of the intervention</w:t>
      </w:r>
      <w:r w:rsidRPr="005B1B63">
        <w:rPr>
          <w:rFonts w:ascii="Arial" w:hAnsi="Arial" w:cs="Arial"/>
        </w:rPr>
        <w:t xml:space="preserve"> in 2026 will translate this readiness into tangible financing by supporting the preparation and submission of full RDF application packages.</w:t>
      </w:r>
    </w:p>
    <w:p w14:paraId="5C5D0C67" w14:textId="5C3A5DDD" w:rsidR="00011070" w:rsidRPr="00011070" w:rsidRDefault="00011070" w:rsidP="00011070">
      <w:pPr>
        <w:jc w:val="both"/>
        <w:rPr>
          <w:rFonts w:ascii="Arial" w:hAnsi="Arial" w:cs="Arial"/>
          <w:i/>
          <w:iCs/>
        </w:rPr>
      </w:pPr>
      <w:r w:rsidRPr="00011070">
        <w:rPr>
          <w:rFonts w:ascii="Arial" w:hAnsi="Arial" w:cs="Arial"/>
          <w:i/>
          <w:iCs/>
        </w:rPr>
        <w:t>Intervention 3. Streamlining Allocation of Land-Lease and Other PA Revenues into Special Accounts</w:t>
      </w:r>
      <w:r>
        <w:rPr>
          <w:rFonts w:ascii="Arial" w:hAnsi="Arial" w:cs="Arial"/>
          <w:i/>
          <w:iCs/>
        </w:rPr>
        <w:t xml:space="preserve"> of PA</w:t>
      </w:r>
      <w:r w:rsidR="00B2579D">
        <w:rPr>
          <w:rFonts w:ascii="Arial" w:hAnsi="Arial" w:cs="Arial"/>
          <w:i/>
          <w:iCs/>
        </w:rPr>
        <w:t>s</w:t>
      </w:r>
    </w:p>
    <w:p w14:paraId="42D4950A" w14:textId="2E269174" w:rsidR="00011070" w:rsidRPr="00011070" w:rsidRDefault="00406465" w:rsidP="00011070">
      <w:pPr>
        <w:jc w:val="both"/>
        <w:rPr>
          <w:rFonts w:ascii="Arial" w:hAnsi="Arial" w:cs="Arial"/>
        </w:rPr>
      </w:pPr>
      <w:r w:rsidRPr="00406465">
        <w:rPr>
          <w:rFonts w:ascii="Arial" w:hAnsi="Arial" w:cs="Arial"/>
        </w:rPr>
        <w:t>The objective of this intervention is to strengthen the financial sustainability of the Kyrgyz Republic’s system of Protected Areas (PAs) by assessing and expanding legally permissible revenue-generation mechanisms and improving institutional arrangements for income management and use. Particular emphasis is placed on ensuring the sustainable and targeted use of PA-generated revenues through their allocation to special accounts that are directly accessible to the PAs themselves.</w:t>
      </w:r>
    </w:p>
    <w:p w14:paraId="5626862B" w14:textId="5EAE2278" w:rsidR="00011070" w:rsidRPr="00011070" w:rsidRDefault="00406465" w:rsidP="00406465">
      <w:pPr>
        <w:jc w:val="both"/>
        <w:rPr>
          <w:rFonts w:ascii="Arial" w:hAnsi="Arial" w:cs="Arial"/>
        </w:rPr>
      </w:pPr>
      <w:r>
        <w:rPr>
          <w:rFonts w:ascii="Arial" w:hAnsi="Arial" w:cs="Arial"/>
        </w:rPr>
        <w:t xml:space="preserve">During the reporting period, </w:t>
      </w:r>
      <w:r w:rsidR="00011070" w:rsidRPr="00011070">
        <w:rPr>
          <w:rFonts w:ascii="Arial" w:hAnsi="Arial" w:cs="Arial"/>
        </w:rPr>
        <w:t>BIOFIN completed a comprehensive legal and institutional assessment covering the national budget framework, special accounts regulations, and 26 potential revenue streams for PAs. The work produced a technical note that clearly distinguishes:</w:t>
      </w:r>
    </w:p>
    <w:p w14:paraId="5CE31BE0" w14:textId="50336C4B" w:rsidR="00011070" w:rsidRPr="00406465" w:rsidRDefault="00011070" w:rsidP="00406465">
      <w:pPr>
        <w:pStyle w:val="af8"/>
        <w:numPr>
          <w:ilvl w:val="0"/>
          <w:numId w:val="43"/>
        </w:numPr>
        <w:jc w:val="both"/>
        <w:rPr>
          <w:rFonts w:ascii="Arial" w:hAnsi="Arial" w:cs="Arial"/>
        </w:rPr>
      </w:pPr>
      <w:r w:rsidRPr="00406465">
        <w:rPr>
          <w:rFonts w:ascii="Arial" w:hAnsi="Arial" w:cs="Arial"/>
        </w:rPr>
        <w:t>Revenues immediately permissible under existing legislation;</w:t>
      </w:r>
    </w:p>
    <w:p w14:paraId="1E85F0F9" w14:textId="27068532" w:rsidR="00011070" w:rsidRPr="00406465" w:rsidRDefault="00011070" w:rsidP="00406465">
      <w:pPr>
        <w:pStyle w:val="af8"/>
        <w:numPr>
          <w:ilvl w:val="0"/>
          <w:numId w:val="43"/>
        </w:numPr>
        <w:jc w:val="both"/>
        <w:rPr>
          <w:rFonts w:ascii="Arial" w:hAnsi="Arial" w:cs="Arial"/>
        </w:rPr>
      </w:pPr>
      <w:r w:rsidRPr="00406465">
        <w:rPr>
          <w:rFonts w:ascii="Arial" w:hAnsi="Arial" w:cs="Arial"/>
        </w:rPr>
        <w:t>Revenues requiring regulatory amendments;</w:t>
      </w:r>
    </w:p>
    <w:p w14:paraId="52E7C0D5" w14:textId="3B934E4B" w:rsidR="00011070" w:rsidRPr="00406465" w:rsidRDefault="00011070" w:rsidP="00011070">
      <w:pPr>
        <w:pStyle w:val="af8"/>
        <w:numPr>
          <w:ilvl w:val="0"/>
          <w:numId w:val="43"/>
        </w:numPr>
        <w:jc w:val="both"/>
        <w:rPr>
          <w:rFonts w:ascii="Arial" w:hAnsi="Arial" w:cs="Arial"/>
        </w:rPr>
      </w:pPr>
      <w:r w:rsidRPr="00406465">
        <w:rPr>
          <w:rFonts w:ascii="Arial" w:hAnsi="Arial" w:cs="Arial"/>
        </w:rPr>
        <w:lastRenderedPageBreak/>
        <w:t>Revenues to be formalized through inclusion in the Unified Register of State Services.</w:t>
      </w:r>
    </w:p>
    <w:p w14:paraId="1FDD7D34" w14:textId="77777777" w:rsidR="00011070" w:rsidRPr="00011070" w:rsidRDefault="00011070" w:rsidP="00011070">
      <w:pPr>
        <w:jc w:val="both"/>
        <w:rPr>
          <w:rFonts w:ascii="Arial" w:hAnsi="Arial" w:cs="Arial"/>
        </w:rPr>
      </w:pPr>
      <w:r w:rsidRPr="00011070">
        <w:rPr>
          <w:rFonts w:ascii="Arial" w:hAnsi="Arial" w:cs="Arial"/>
        </w:rPr>
        <w:t>Extensive consultations with the Ministries of Natural Resources and Finance strengthened institutional awareness and initiated formal consideration of reforms to improve revenue retention and management, including enhancing the budgetary role of the Department of Biodiversity and Protected Areas.</w:t>
      </w:r>
    </w:p>
    <w:p w14:paraId="6E00D442" w14:textId="0AC50E36" w:rsidR="003C594E" w:rsidRPr="002866AF" w:rsidRDefault="00011070" w:rsidP="002866AF">
      <w:pPr>
        <w:jc w:val="both"/>
        <w:rPr>
          <w:rFonts w:ascii="Arial" w:hAnsi="Arial" w:cs="Arial"/>
        </w:rPr>
      </w:pPr>
      <w:r w:rsidRPr="00011070">
        <w:rPr>
          <w:rFonts w:ascii="Arial" w:hAnsi="Arial" w:cs="Arial"/>
        </w:rPr>
        <w:t>This intervention lays the groundwork for long-term financial self-sufficiency of Protected Areas by enabling predictable, retained revenues to be reinvested directly into conservation and management priorities. Implementation support for regulatory changes is planned for 2026.</w:t>
      </w:r>
    </w:p>
    <w:p w14:paraId="6717273C" w14:textId="3B8CDCBE" w:rsidR="00FF22BF" w:rsidRPr="007969E9" w:rsidRDefault="00FF22BF" w:rsidP="00FF22BF">
      <w:pPr>
        <w:keepNext/>
        <w:spacing w:after="0"/>
        <w:rPr>
          <w:rFonts w:ascii="Arial" w:hAnsi="Arial" w:cs="Arial"/>
          <w:color w:val="4091ED" w:themeColor="text1" w:themeTint="99"/>
          <w:sz w:val="28"/>
          <w:szCs w:val="28"/>
        </w:rPr>
      </w:pPr>
      <w:r w:rsidRPr="007969E9">
        <w:rPr>
          <w:rFonts w:ascii="Arial" w:hAnsi="Arial" w:cs="Arial"/>
          <w:color w:val="4091ED" w:themeColor="text1" w:themeTint="99"/>
          <w:sz w:val="28"/>
          <w:szCs w:val="28"/>
        </w:rPr>
        <w:t xml:space="preserve">Finance solution </w:t>
      </w:r>
      <w:r w:rsidR="003251E8" w:rsidRPr="007969E9">
        <w:rPr>
          <w:rFonts w:ascii="Arial" w:hAnsi="Arial" w:cs="Arial"/>
          <w:color w:val="4091ED" w:themeColor="text1" w:themeTint="99"/>
          <w:sz w:val="28"/>
          <w:szCs w:val="28"/>
        </w:rPr>
        <w:t>8</w:t>
      </w:r>
      <w:r w:rsidRPr="007969E9">
        <w:rPr>
          <w:rFonts w:ascii="Arial" w:hAnsi="Arial" w:cs="Arial"/>
          <w:color w:val="4091ED" w:themeColor="text1" w:themeTint="99"/>
          <w:sz w:val="28"/>
          <w:szCs w:val="28"/>
        </w:rPr>
        <w:t xml:space="preserve">: </w:t>
      </w:r>
      <w:r w:rsidR="00871366" w:rsidRPr="007969E9">
        <w:rPr>
          <w:rFonts w:ascii="Arial" w:hAnsi="Arial" w:cs="Arial"/>
          <w:color w:val="4091ED" w:themeColor="text1" w:themeTint="99"/>
          <w:sz w:val="28"/>
          <w:szCs w:val="28"/>
        </w:rPr>
        <w:t>Digitalization of rental payments for leasing forest plots</w:t>
      </w:r>
    </w:p>
    <w:p w14:paraId="43DBD5AE" w14:textId="7E2C222A" w:rsidR="004F44F8" w:rsidRDefault="004F44F8" w:rsidP="00C75390">
      <w:pPr>
        <w:jc w:val="both"/>
        <w:rPr>
          <w:rFonts w:ascii="Arial" w:hAnsi="Arial" w:cs="Arial"/>
        </w:rPr>
      </w:pPr>
      <w:r w:rsidRPr="004F44F8">
        <w:rPr>
          <w:rFonts w:ascii="Arial" w:hAnsi="Arial" w:cs="Arial"/>
        </w:rPr>
        <w:t>This financial solution</w:t>
      </w:r>
      <w:r w:rsidR="00C07E7C">
        <w:rPr>
          <w:rFonts w:ascii="Arial" w:hAnsi="Arial" w:cs="Arial"/>
        </w:rPr>
        <w:t xml:space="preserve"> </w:t>
      </w:r>
      <w:r w:rsidRPr="004F44F8">
        <w:rPr>
          <w:rFonts w:ascii="Arial" w:hAnsi="Arial" w:cs="Arial"/>
        </w:rPr>
        <w:t>aims to modernize the payment system of the Forest Service and Forestry Enterprises (FEs) in Kyrgyzstan by transitioning all service-related transactions to non-cash, digital formats. The primary objective is to enhance transparency, traceability, and timeliness of financial operations, ensuring that all payments are instantly recorded in an integrated electronic system.</w:t>
      </w:r>
    </w:p>
    <w:p w14:paraId="59125994" w14:textId="77777777" w:rsidR="00EC68AD" w:rsidRDefault="00EC68AD" w:rsidP="001B76BE">
      <w:pPr>
        <w:pStyle w:val="a0"/>
        <w:keepNext/>
        <w:spacing w:after="0"/>
        <w:jc w:val="both"/>
      </w:pPr>
      <w:r>
        <w:t>In addition to improving financial accountability, the solution expands payment accessibility, allowing users—particularly those in remote areas—to make payments through a wide range of digital channels, including payment terminals, e-wallets, and online platforms. Furthermore, it aims to streamline internal business processes and improve operational efficiency across the forestry sector.</w:t>
      </w:r>
    </w:p>
    <w:p w14:paraId="225626D0" w14:textId="77777777" w:rsidR="00586FE6" w:rsidRPr="005B0A2D" w:rsidRDefault="00586FE6" w:rsidP="005B0A2D">
      <w:pPr>
        <w:pStyle w:val="aff4"/>
        <w:jc w:val="both"/>
        <w:rPr>
          <w:rFonts w:ascii="Arial" w:hAnsi="Arial" w:cs="Arial"/>
          <w:sz w:val="22"/>
          <w:szCs w:val="22"/>
        </w:rPr>
      </w:pPr>
      <w:r w:rsidRPr="005B0A2D">
        <w:rPr>
          <w:rFonts w:ascii="Arial" w:hAnsi="Arial" w:cs="Arial"/>
          <w:sz w:val="22"/>
          <w:szCs w:val="22"/>
        </w:rPr>
        <w:t xml:space="preserve">The upgraded system delivered </w:t>
      </w:r>
      <w:r w:rsidRPr="005B0A2D">
        <w:rPr>
          <w:rStyle w:val="aff5"/>
          <w:rFonts w:ascii="Arial" w:hAnsi="Arial" w:cs="Arial"/>
          <w:b w:val="0"/>
          <w:bCs w:val="0"/>
          <w:sz w:val="22"/>
          <w:szCs w:val="22"/>
        </w:rPr>
        <w:t>tangible operational and governance improvements</w:t>
      </w:r>
      <w:r w:rsidRPr="005B0A2D">
        <w:rPr>
          <w:rFonts w:ascii="Arial" w:hAnsi="Arial" w:cs="Arial"/>
          <w:sz w:val="22"/>
          <w:szCs w:val="22"/>
        </w:rPr>
        <w:t>:</w:t>
      </w:r>
    </w:p>
    <w:p w14:paraId="5E1BC4A4" w14:textId="77777777" w:rsidR="00586FE6" w:rsidRPr="005B0A2D" w:rsidRDefault="00586FE6" w:rsidP="005B0A2D">
      <w:pPr>
        <w:pStyle w:val="aff4"/>
        <w:numPr>
          <w:ilvl w:val="0"/>
          <w:numId w:val="44"/>
        </w:numPr>
        <w:jc w:val="both"/>
        <w:rPr>
          <w:rFonts w:ascii="Arial" w:hAnsi="Arial" w:cs="Arial"/>
          <w:sz w:val="22"/>
          <w:szCs w:val="22"/>
        </w:rPr>
      </w:pPr>
      <w:r w:rsidRPr="005B0A2D">
        <w:rPr>
          <w:rStyle w:val="aff5"/>
          <w:rFonts w:ascii="Arial" w:hAnsi="Arial" w:cs="Arial"/>
          <w:b w:val="0"/>
          <w:bCs w:val="0"/>
          <w:sz w:val="22"/>
          <w:szCs w:val="22"/>
        </w:rPr>
        <w:t>Improved accessibility and inclusion:</w:t>
      </w:r>
      <w:r w:rsidRPr="005B0A2D">
        <w:rPr>
          <w:rFonts w:ascii="Arial" w:hAnsi="Arial" w:cs="Arial"/>
          <w:sz w:val="22"/>
          <w:szCs w:val="22"/>
        </w:rPr>
        <w:t xml:space="preserve"> Leaseholders can now make payments remotely using mobile banking, e-wallets, payment terminals, and QR-code–based payment identifiers—significantly reducing barriers for users in remote areas.</w:t>
      </w:r>
    </w:p>
    <w:p w14:paraId="6A53A191" w14:textId="77777777" w:rsidR="00586FE6" w:rsidRPr="005B0A2D" w:rsidRDefault="00586FE6" w:rsidP="005B0A2D">
      <w:pPr>
        <w:pStyle w:val="aff4"/>
        <w:numPr>
          <w:ilvl w:val="0"/>
          <w:numId w:val="44"/>
        </w:numPr>
        <w:jc w:val="both"/>
        <w:rPr>
          <w:rFonts w:ascii="Arial" w:hAnsi="Arial" w:cs="Arial"/>
          <w:sz w:val="22"/>
          <w:szCs w:val="22"/>
        </w:rPr>
      </w:pPr>
      <w:r w:rsidRPr="005B0A2D">
        <w:rPr>
          <w:rStyle w:val="aff5"/>
          <w:rFonts w:ascii="Arial" w:hAnsi="Arial" w:cs="Arial"/>
          <w:b w:val="0"/>
          <w:bCs w:val="0"/>
          <w:sz w:val="22"/>
          <w:szCs w:val="22"/>
        </w:rPr>
        <w:t>Real-time transparency and control:</w:t>
      </w:r>
      <w:r w:rsidRPr="005B0A2D">
        <w:rPr>
          <w:rFonts w:ascii="Arial" w:hAnsi="Arial" w:cs="Arial"/>
          <w:sz w:val="22"/>
          <w:szCs w:val="22"/>
        </w:rPr>
        <w:t xml:space="preserve"> Payments are reflected instantly in the system, enabling Forest Service staff to verify transactions in real time and eliminating manual processing of paper receipts.</w:t>
      </w:r>
    </w:p>
    <w:p w14:paraId="256A1749" w14:textId="77777777" w:rsidR="00586FE6" w:rsidRPr="005B0A2D" w:rsidRDefault="00586FE6" w:rsidP="005B0A2D">
      <w:pPr>
        <w:pStyle w:val="aff4"/>
        <w:numPr>
          <w:ilvl w:val="0"/>
          <w:numId w:val="44"/>
        </w:numPr>
        <w:jc w:val="both"/>
        <w:rPr>
          <w:rFonts w:ascii="Arial" w:hAnsi="Arial" w:cs="Arial"/>
          <w:sz w:val="22"/>
          <w:szCs w:val="22"/>
        </w:rPr>
      </w:pPr>
      <w:r w:rsidRPr="005B0A2D">
        <w:rPr>
          <w:rStyle w:val="aff5"/>
          <w:rFonts w:ascii="Arial" w:hAnsi="Arial" w:cs="Arial"/>
          <w:b w:val="0"/>
          <w:bCs w:val="0"/>
          <w:sz w:val="22"/>
          <w:szCs w:val="22"/>
        </w:rPr>
        <w:t>Enhanced financial oversight:</w:t>
      </w:r>
      <w:r w:rsidRPr="005B0A2D">
        <w:rPr>
          <w:rFonts w:ascii="Arial" w:hAnsi="Arial" w:cs="Arial"/>
          <w:sz w:val="22"/>
          <w:szCs w:val="22"/>
        </w:rPr>
        <w:t xml:space="preserve"> Centralized dashboards and analytical reports allow monitoring of revenues by leaseholder, forest enterprise, region, and type of forest use, while enabling real-time tracking of outstanding receivables.</w:t>
      </w:r>
    </w:p>
    <w:p w14:paraId="720C1CAA" w14:textId="77777777" w:rsidR="00586FE6" w:rsidRPr="005B0A2D" w:rsidRDefault="00586FE6" w:rsidP="005B0A2D">
      <w:pPr>
        <w:pStyle w:val="aff4"/>
        <w:numPr>
          <w:ilvl w:val="0"/>
          <w:numId w:val="44"/>
        </w:numPr>
        <w:jc w:val="both"/>
        <w:rPr>
          <w:rFonts w:ascii="Arial" w:hAnsi="Arial" w:cs="Arial"/>
          <w:sz w:val="22"/>
          <w:szCs w:val="22"/>
        </w:rPr>
      </w:pPr>
      <w:r w:rsidRPr="005B0A2D">
        <w:rPr>
          <w:rStyle w:val="aff5"/>
          <w:rFonts w:ascii="Arial" w:hAnsi="Arial" w:cs="Arial"/>
          <w:b w:val="0"/>
          <w:bCs w:val="0"/>
          <w:sz w:val="22"/>
          <w:szCs w:val="22"/>
        </w:rPr>
        <w:t>Improved payment discipline:</w:t>
      </w:r>
      <w:r w:rsidRPr="005B0A2D">
        <w:rPr>
          <w:rFonts w:ascii="Arial" w:hAnsi="Arial" w:cs="Arial"/>
          <w:sz w:val="22"/>
          <w:szCs w:val="22"/>
        </w:rPr>
        <w:t xml:space="preserve"> Automated notifications and reminders for overdue payments have reduced delays and strengthened compliance.</w:t>
      </w:r>
    </w:p>
    <w:p w14:paraId="71C65E04" w14:textId="77EC998B" w:rsidR="00807923" w:rsidRDefault="00586FE6" w:rsidP="005B0A2D">
      <w:pPr>
        <w:pStyle w:val="aff4"/>
        <w:jc w:val="both"/>
        <w:rPr>
          <w:rFonts w:ascii="Arial" w:hAnsi="Arial" w:cs="Arial"/>
          <w:sz w:val="22"/>
          <w:szCs w:val="22"/>
        </w:rPr>
      </w:pPr>
      <w:r w:rsidRPr="005B0A2D">
        <w:rPr>
          <w:rFonts w:ascii="Arial" w:hAnsi="Arial" w:cs="Arial"/>
          <w:sz w:val="22"/>
          <w:szCs w:val="22"/>
        </w:rPr>
        <w:t xml:space="preserve">The upgraded AIS was </w:t>
      </w:r>
      <w:r w:rsidRPr="005B0A2D">
        <w:rPr>
          <w:rStyle w:val="aff5"/>
          <w:rFonts w:ascii="Arial" w:hAnsi="Arial" w:cs="Arial"/>
          <w:b w:val="0"/>
          <w:bCs w:val="0"/>
          <w:sz w:val="22"/>
          <w:szCs w:val="22"/>
        </w:rPr>
        <w:t>fully deployed and operationalized in November 2025</w:t>
      </w:r>
      <w:r w:rsidRPr="005B0A2D">
        <w:rPr>
          <w:rFonts w:ascii="Arial" w:hAnsi="Arial" w:cs="Arial"/>
          <w:sz w:val="22"/>
          <w:szCs w:val="22"/>
        </w:rPr>
        <w:t>, marking a structural shift in how forest-use revenues are administered and monitored.</w:t>
      </w:r>
    </w:p>
    <w:p w14:paraId="634DCF4A" w14:textId="0F37CA8A" w:rsidR="00291384" w:rsidRPr="007969E9" w:rsidRDefault="00291384" w:rsidP="00291384">
      <w:pPr>
        <w:keepNext/>
        <w:spacing w:after="0"/>
        <w:rPr>
          <w:rFonts w:ascii="Arial" w:hAnsi="Arial" w:cs="Arial"/>
          <w:color w:val="4091ED" w:themeColor="text1" w:themeTint="99"/>
          <w:sz w:val="28"/>
          <w:szCs w:val="28"/>
        </w:rPr>
      </w:pPr>
      <w:r w:rsidRPr="007969E9">
        <w:rPr>
          <w:rFonts w:ascii="Arial" w:hAnsi="Arial" w:cs="Arial"/>
          <w:color w:val="4091ED" w:themeColor="text1" w:themeTint="99"/>
          <w:sz w:val="28"/>
          <w:szCs w:val="28"/>
        </w:rPr>
        <w:lastRenderedPageBreak/>
        <w:t xml:space="preserve">Finance solution </w:t>
      </w:r>
      <w:r w:rsidR="00DC12AD" w:rsidRPr="00DC12AD">
        <w:rPr>
          <w:rFonts w:ascii="Arial" w:hAnsi="Arial" w:cs="Arial"/>
          <w:color w:val="4091ED" w:themeColor="text1" w:themeTint="99"/>
          <w:sz w:val="28"/>
          <w:szCs w:val="28"/>
        </w:rPr>
        <w:t>10: Integrating environmental considerations into the financial sector</w:t>
      </w:r>
    </w:p>
    <w:p w14:paraId="385ADCB0" w14:textId="0CA62501" w:rsidR="00205A28" w:rsidRDefault="00205A28" w:rsidP="00291384">
      <w:pPr>
        <w:pStyle w:val="a0"/>
        <w:keepNext/>
        <w:spacing w:after="0"/>
        <w:jc w:val="both"/>
      </w:pPr>
      <w:r w:rsidRPr="00205A28">
        <w:t>This financial solution aims to integrate ESG and environmental risk considerations into the policies, supervision, and operations of the financial sector players, enabling the redirection of financial flows toward sustainable, nature-positive economic activities while strengthening financial system resilience.</w:t>
      </w:r>
    </w:p>
    <w:p w14:paraId="7F6324C9" w14:textId="41321C15" w:rsidR="00373BC5" w:rsidRPr="00373BC5" w:rsidRDefault="00373BC5" w:rsidP="00373BC5">
      <w:pPr>
        <w:pStyle w:val="aff4"/>
        <w:jc w:val="both"/>
        <w:rPr>
          <w:rFonts w:ascii="Arial" w:hAnsi="Arial" w:cs="Arial"/>
          <w:sz w:val="22"/>
          <w:szCs w:val="22"/>
          <w:lang w:bidi="en-US"/>
        </w:rPr>
      </w:pPr>
      <w:r>
        <w:rPr>
          <w:rFonts w:ascii="Arial" w:hAnsi="Arial" w:cs="Arial"/>
          <w:sz w:val="22"/>
          <w:szCs w:val="22"/>
          <w:lang w:bidi="en-US"/>
        </w:rPr>
        <w:t xml:space="preserve">During the reporting period, </w:t>
      </w:r>
      <w:r w:rsidRPr="00373BC5">
        <w:rPr>
          <w:rFonts w:ascii="Arial" w:hAnsi="Arial" w:cs="Arial"/>
          <w:sz w:val="22"/>
          <w:szCs w:val="22"/>
          <w:lang w:bidi="en-US"/>
        </w:rPr>
        <w:t>BIOFIN supported the National Bank of the Kyrgyz Republic (NBKR)—as the country’s central bank and financial sector regulator—in embedding ESG principles into its institutional architecture. During the reporting period, a comprehensive ESG self-assessment was conducted across all NBKR structural divisions, identifying priority gaps, risks, and entry points for ESG integration.</w:t>
      </w:r>
    </w:p>
    <w:p w14:paraId="7223EAB1" w14:textId="1487F000" w:rsidR="00373BC5" w:rsidRPr="00373BC5" w:rsidRDefault="00373BC5" w:rsidP="00373BC5">
      <w:pPr>
        <w:pStyle w:val="aff4"/>
        <w:jc w:val="both"/>
        <w:rPr>
          <w:rFonts w:ascii="Arial" w:hAnsi="Arial" w:cs="Arial"/>
          <w:sz w:val="22"/>
          <w:szCs w:val="22"/>
          <w:lang w:bidi="en-US"/>
        </w:rPr>
      </w:pPr>
      <w:r w:rsidRPr="00373BC5">
        <w:rPr>
          <w:rFonts w:ascii="Arial" w:hAnsi="Arial" w:cs="Arial"/>
          <w:sz w:val="22"/>
          <w:szCs w:val="22"/>
          <w:lang w:bidi="en-US"/>
        </w:rPr>
        <w:t>Based on this assessment, a detailed ESG Integration Roadmap was developed and approved by the NBKR Management Board. The Roadmap defines short-, medium-, and long-term actions, assigns institutional responsibilities, and outlines resource needs and risk mitigation measures. It provides practical guidance for integrating ESG into financial supervision, monetary policy analysis, internal operations, procurement, reporting, and governance, aligned with international good practices and the Sustainable Development Goals.</w:t>
      </w:r>
    </w:p>
    <w:p w14:paraId="37EFDA22" w14:textId="66EF8F9F" w:rsidR="00291384" w:rsidRDefault="00373BC5" w:rsidP="00373BC5">
      <w:pPr>
        <w:pStyle w:val="aff4"/>
        <w:jc w:val="both"/>
        <w:rPr>
          <w:rFonts w:ascii="Arial" w:hAnsi="Arial" w:cs="Arial"/>
          <w:sz w:val="22"/>
          <w:szCs w:val="22"/>
          <w:lang w:bidi="en-US"/>
        </w:rPr>
      </w:pPr>
      <w:r w:rsidRPr="00373BC5">
        <w:rPr>
          <w:rFonts w:ascii="Arial" w:hAnsi="Arial" w:cs="Arial"/>
          <w:sz w:val="22"/>
          <w:szCs w:val="22"/>
          <w:lang w:bidi="en-US"/>
        </w:rPr>
        <w:t>As a result, NBKR’s institutional readiness and internal awareness of ESG risks and opportunities were significantly strengthened, and a clear, sequenced implementation pathway was established. The intervention laid the foundation for systematic ESG implementation, monitoring, and disclosure within the central bank and created a replicable reference point for supervised financial institutions.</w:t>
      </w:r>
    </w:p>
    <w:p w14:paraId="51B4DC65" w14:textId="7B7AEBB5" w:rsidR="00D36762" w:rsidRPr="005B0A2D" w:rsidRDefault="00D36762" w:rsidP="00373BC5">
      <w:pPr>
        <w:pStyle w:val="aff4"/>
        <w:jc w:val="both"/>
        <w:rPr>
          <w:rFonts w:ascii="Arial" w:hAnsi="Arial" w:cs="Arial"/>
          <w:sz w:val="22"/>
          <w:szCs w:val="22"/>
        </w:rPr>
      </w:pPr>
      <w:r w:rsidRPr="00D36762">
        <w:rPr>
          <w:rFonts w:ascii="Arial" w:hAnsi="Arial" w:cs="Arial"/>
          <w:sz w:val="22"/>
          <w:szCs w:val="22"/>
        </w:rPr>
        <w:t>In 2026, targeted capacity-building and practical ESG training will support implementation of the Roadmap, alongside identification of further cooperation entry points with NBKR.</w:t>
      </w:r>
    </w:p>
    <w:p w14:paraId="50991FDC" w14:textId="34398DCC" w:rsidR="0051254F" w:rsidRPr="007969E9" w:rsidRDefault="00E836DF" w:rsidP="00843D8F">
      <w:pPr>
        <w:pStyle w:val="1"/>
        <w:numPr>
          <w:ilvl w:val="0"/>
          <w:numId w:val="7"/>
        </w:numPr>
        <w:ind w:left="567" w:hanging="567"/>
      </w:pPr>
      <w:bookmarkStart w:id="18" w:name="_Toc219880824"/>
      <w:bookmarkEnd w:id="2"/>
      <w:bookmarkEnd w:id="17"/>
      <w:r w:rsidRPr="007969E9">
        <w:t>Country factsheet</w:t>
      </w:r>
      <w:r w:rsidR="0051254F" w:rsidRPr="007969E9">
        <w:t xml:space="preserve">: the country’s biodiversity finance profile and the </w:t>
      </w:r>
      <w:r w:rsidR="00B83211" w:rsidRPr="007969E9">
        <w:t xml:space="preserve">programming </w:t>
      </w:r>
      <w:r w:rsidR="0051254F" w:rsidRPr="007969E9">
        <w:t>approach</w:t>
      </w:r>
      <w:bookmarkEnd w:id="18"/>
    </w:p>
    <w:p w14:paraId="484C00D7" w14:textId="77777777" w:rsidR="008A77FA" w:rsidRPr="007969E9" w:rsidRDefault="008A77FA" w:rsidP="0041516B">
      <w:pPr>
        <w:pStyle w:val="20"/>
      </w:pPr>
      <w:bookmarkStart w:id="19" w:name="_Toc219880825"/>
      <w:r w:rsidRPr="007969E9">
        <w:t>Biodiversity finance profile</w:t>
      </w:r>
      <w:bookmarkEnd w:id="19"/>
    </w:p>
    <w:p w14:paraId="18D6F1F3" w14:textId="77777777" w:rsidR="001175BE" w:rsidRPr="007969E9" w:rsidRDefault="001175BE" w:rsidP="001175BE">
      <w:pPr>
        <w:jc w:val="both"/>
        <w:rPr>
          <w:rFonts w:ascii="Arial" w:hAnsi="Arial" w:cs="Arial"/>
        </w:rPr>
      </w:pPr>
      <w:r w:rsidRPr="007969E9">
        <w:rPr>
          <w:rFonts w:ascii="Arial" w:hAnsi="Arial" w:cs="Arial"/>
        </w:rPr>
        <w:t>The Kyrgyz Republic, being a landlocked country, is among the 200 priority ecological regions of the planet. This is due to a high concentration of species diversity; about 2% of the world’s known flora and 3% of the world’s known fauna can be found in the country. Biodiversity and ecosystems of the Kyrgyz Republic play an important role in the economy and traditions of the country. Ecosystems provide services for people of Kyrgyzstan and downstream countries which are essential to human wellbeing for this populated, arid, climate sensitive and disaster vulnerable region: fresh water, regulation of regional climate, food, biological pest control, maintenance of soil structure and fertility, natural protection against common natural hazards, nutrient cycling and hydrological services, carbon sequestration, support for biodiversity and cultural services.</w:t>
      </w:r>
    </w:p>
    <w:p w14:paraId="090CC68E" w14:textId="11495223" w:rsidR="001175BE" w:rsidRPr="007969E9" w:rsidRDefault="001175BE" w:rsidP="001175BE">
      <w:pPr>
        <w:jc w:val="both"/>
        <w:rPr>
          <w:rFonts w:ascii="Arial" w:hAnsi="Arial" w:cs="Arial"/>
        </w:rPr>
      </w:pPr>
      <w:r w:rsidRPr="007969E9">
        <w:rPr>
          <w:rFonts w:ascii="Arial" w:hAnsi="Arial" w:cs="Arial"/>
        </w:rPr>
        <w:lastRenderedPageBreak/>
        <w:t xml:space="preserve">Analysis of the environmental status shows that, currently, the national economy primarily applies technologies and practices that lead to environmental degradation and deterioration of livelihood environment, in general. Natural resources are being depleted, pollution is increasing and the dynamics of loss of biodiversity can be observed. All this reduces the regenerative capacity of the natural environment. Economic entities, energy, transport, mining, and agriculture sectors in </w:t>
      </w:r>
      <w:r w:rsidR="00B40B21" w:rsidRPr="007969E9">
        <w:rPr>
          <w:rFonts w:ascii="Arial" w:hAnsi="Arial" w:cs="Arial"/>
        </w:rPr>
        <w:t>particular</w:t>
      </w:r>
      <w:r w:rsidRPr="007969E9">
        <w:rPr>
          <w:rFonts w:ascii="Arial" w:hAnsi="Arial" w:cs="Arial"/>
        </w:rPr>
        <w:t xml:space="preserve"> affect the environment. There is a general lack of policies and economic mechanisms which aim to internalize the external costs to society caused by these entities including emissions, pollution and other degrading activities. This results in an overuse of the environment and natural resources.</w:t>
      </w:r>
    </w:p>
    <w:p w14:paraId="4A29EFCE" w14:textId="34C69590" w:rsidR="001175BE" w:rsidRPr="007969E9" w:rsidRDefault="001175BE" w:rsidP="001175BE">
      <w:pPr>
        <w:rPr>
          <w:rFonts w:ascii="Arial" w:hAnsi="Arial" w:cs="Arial"/>
          <w:b/>
          <w:bCs/>
        </w:rPr>
      </w:pPr>
      <w:r w:rsidRPr="007969E9">
        <w:rPr>
          <w:rFonts w:ascii="Arial" w:hAnsi="Arial" w:cs="Arial"/>
          <w:b/>
          <w:bCs/>
        </w:rPr>
        <w:t xml:space="preserve">The country’s commitment to and engagement </w:t>
      </w:r>
      <w:r w:rsidR="00830610" w:rsidRPr="007969E9">
        <w:rPr>
          <w:rFonts w:ascii="Arial" w:hAnsi="Arial" w:cs="Arial"/>
          <w:b/>
          <w:bCs/>
        </w:rPr>
        <w:t>in</w:t>
      </w:r>
      <w:r w:rsidRPr="007969E9">
        <w:rPr>
          <w:rFonts w:ascii="Arial" w:hAnsi="Arial" w:cs="Arial"/>
          <w:b/>
          <w:bCs/>
        </w:rPr>
        <w:t xml:space="preserve"> protecting its biological diversity and preventing further loss</w:t>
      </w:r>
    </w:p>
    <w:p w14:paraId="45E190D8" w14:textId="28BB682C" w:rsidR="001175BE" w:rsidRPr="007969E9" w:rsidRDefault="001175BE" w:rsidP="001175BE">
      <w:pPr>
        <w:jc w:val="both"/>
        <w:rPr>
          <w:rFonts w:ascii="Arial" w:hAnsi="Arial" w:cs="Arial"/>
        </w:rPr>
      </w:pPr>
      <w:r w:rsidRPr="007969E9">
        <w:rPr>
          <w:rFonts w:ascii="Arial" w:hAnsi="Arial" w:cs="Arial"/>
        </w:rPr>
        <w:t>The Kyrgyz Republic has acceded to the Convention on biological diversity by the Law of the Kyrgyz Republic No. 40. dated July 26, 1996.  In order to implement the provisions of the Convention on Biological Diversity and Strategic Plan for Conservation and Sustainable Use of biodiversity, including the</w:t>
      </w:r>
      <w:r w:rsidR="00B0472B" w:rsidRPr="007969E9">
        <w:rPr>
          <w:rFonts w:ascii="Arial" w:hAnsi="Arial" w:cs="Arial"/>
        </w:rPr>
        <w:t xml:space="preserve"> Kunming-Montreal Global Biodiversity Framework</w:t>
      </w:r>
      <w:r w:rsidRPr="007969E9">
        <w:rPr>
          <w:rFonts w:ascii="Arial" w:hAnsi="Arial" w:cs="Arial"/>
        </w:rPr>
        <w:t>, the country has developed:</w:t>
      </w:r>
    </w:p>
    <w:p w14:paraId="797E9498" w14:textId="00833F52" w:rsidR="001175BE" w:rsidRPr="007969E9" w:rsidRDefault="00171FBE" w:rsidP="00843D8F">
      <w:pPr>
        <w:numPr>
          <w:ilvl w:val="0"/>
          <w:numId w:val="8"/>
        </w:numPr>
        <w:autoSpaceDE/>
        <w:autoSpaceDN/>
        <w:adjustRightInd/>
        <w:spacing w:after="160" w:line="259" w:lineRule="auto"/>
        <w:jc w:val="both"/>
        <w:rPr>
          <w:rFonts w:ascii="Arial" w:hAnsi="Arial" w:cs="Arial"/>
        </w:rPr>
      </w:pPr>
      <w:r>
        <w:rPr>
          <w:rFonts w:ascii="Arial" w:hAnsi="Arial" w:cs="Arial"/>
        </w:rPr>
        <w:t xml:space="preserve">National Development </w:t>
      </w:r>
      <w:r w:rsidR="001175BE" w:rsidRPr="007969E9">
        <w:rPr>
          <w:rFonts w:ascii="Arial" w:hAnsi="Arial" w:cs="Arial"/>
        </w:rPr>
        <w:t>Program of the Kyrgyz Republic until 20</w:t>
      </w:r>
      <w:r w:rsidR="00F66835">
        <w:rPr>
          <w:rFonts w:ascii="Arial" w:hAnsi="Arial" w:cs="Arial"/>
        </w:rPr>
        <w:t>30</w:t>
      </w:r>
      <w:r w:rsidR="001175BE" w:rsidRPr="007969E9">
        <w:rPr>
          <w:rFonts w:ascii="Arial" w:hAnsi="Arial" w:cs="Arial"/>
        </w:rPr>
        <w:t xml:space="preserve"> which defines the key actions necessary for the sustainable development of the country;</w:t>
      </w:r>
    </w:p>
    <w:p w14:paraId="08177B2A" w14:textId="477C3C09" w:rsidR="001175BE" w:rsidRPr="007969E9" w:rsidRDefault="00F66835" w:rsidP="00843D8F">
      <w:pPr>
        <w:numPr>
          <w:ilvl w:val="0"/>
          <w:numId w:val="8"/>
        </w:numPr>
        <w:autoSpaceDE/>
        <w:autoSpaceDN/>
        <w:adjustRightInd/>
        <w:spacing w:after="160" w:line="259" w:lineRule="auto"/>
        <w:jc w:val="both"/>
        <w:rPr>
          <w:rFonts w:ascii="Arial" w:hAnsi="Arial" w:cs="Arial"/>
        </w:rPr>
      </w:pPr>
      <w:r>
        <w:rPr>
          <w:rFonts w:ascii="Arial" w:hAnsi="Arial" w:cs="Arial"/>
        </w:rPr>
        <w:t xml:space="preserve">National Strategy and Action Plan </w:t>
      </w:r>
      <w:r w:rsidR="00C37369">
        <w:rPr>
          <w:rFonts w:ascii="Arial" w:hAnsi="Arial" w:cs="Arial"/>
        </w:rPr>
        <w:t>on</w:t>
      </w:r>
      <w:r>
        <w:rPr>
          <w:rFonts w:ascii="Arial" w:hAnsi="Arial" w:cs="Arial"/>
        </w:rPr>
        <w:t xml:space="preserve"> </w:t>
      </w:r>
      <w:r w:rsidR="00C37369">
        <w:rPr>
          <w:rFonts w:ascii="Arial" w:hAnsi="Arial" w:cs="Arial"/>
        </w:rPr>
        <w:t xml:space="preserve">Biodiversity Conservation </w:t>
      </w:r>
      <w:r w:rsidR="00DF6751">
        <w:rPr>
          <w:rFonts w:ascii="Arial" w:hAnsi="Arial" w:cs="Arial"/>
        </w:rPr>
        <w:t xml:space="preserve">2025-2040 </w:t>
      </w:r>
      <w:r w:rsidR="00C37369">
        <w:rPr>
          <w:rFonts w:ascii="Arial" w:hAnsi="Arial" w:cs="Arial"/>
        </w:rPr>
        <w:t xml:space="preserve">(in the process of </w:t>
      </w:r>
      <w:r w:rsidR="00F87AE7">
        <w:rPr>
          <w:rFonts w:ascii="Arial" w:hAnsi="Arial" w:cs="Arial"/>
        </w:rPr>
        <w:t>approval</w:t>
      </w:r>
      <w:r w:rsidR="00C37369">
        <w:rPr>
          <w:rFonts w:ascii="Arial" w:hAnsi="Arial" w:cs="Arial"/>
        </w:rPr>
        <w:t>)</w:t>
      </w:r>
      <w:r w:rsidR="001175BE" w:rsidRPr="007969E9">
        <w:rPr>
          <w:rFonts w:ascii="Arial" w:hAnsi="Arial" w:cs="Arial"/>
        </w:rPr>
        <w:t>.</w:t>
      </w:r>
    </w:p>
    <w:p w14:paraId="07DCBC20" w14:textId="693540E8" w:rsidR="001175BE" w:rsidRDefault="001175BE" w:rsidP="00843D8F">
      <w:pPr>
        <w:numPr>
          <w:ilvl w:val="0"/>
          <w:numId w:val="8"/>
        </w:numPr>
        <w:autoSpaceDE/>
        <w:autoSpaceDN/>
        <w:adjustRightInd/>
        <w:spacing w:after="160" w:line="259" w:lineRule="auto"/>
        <w:jc w:val="both"/>
        <w:rPr>
          <w:rFonts w:ascii="Arial" w:hAnsi="Arial" w:cs="Arial"/>
        </w:rPr>
      </w:pPr>
      <w:r w:rsidRPr="007969E9">
        <w:rPr>
          <w:rFonts w:ascii="Arial" w:hAnsi="Arial" w:cs="Arial"/>
        </w:rPr>
        <w:t>Concepts for the development of the forest industry for the period up to 20</w:t>
      </w:r>
      <w:r w:rsidR="00EB115D" w:rsidRPr="007969E9">
        <w:rPr>
          <w:rFonts w:ascii="Arial" w:hAnsi="Arial" w:cs="Arial"/>
        </w:rPr>
        <w:t>40</w:t>
      </w:r>
      <w:r w:rsidRPr="007969E9">
        <w:rPr>
          <w:rFonts w:ascii="Arial" w:hAnsi="Arial" w:cs="Arial"/>
        </w:rPr>
        <w:t>.</w:t>
      </w:r>
    </w:p>
    <w:p w14:paraId="38EAA286" w14:textId="736C25E6" w:rsidR="003B5A96" w:rsidRPr="007969E9" w:rsidRDefault="003B5A96" w:rsidP="00843D8F">
      <w:pPr>
        <w:numPr>
          <w:ilvl w:val="0"/>
          <w:numId w:val="8"/>
        </w:numPr>
        <w:autoSpaceDE/>
        <w:autoSpaceDN/>
        <w:adjustRightInd/>
        <w:spacing w:after="160" w:line="259" w:lineRule="auto"/>
        <w:jc w:val="both"/>
        <w:rPr>
          <w:rFonts w:ascii="Arial" w:hAnsi="Arial" w:cs="Arial"/>
        </w:rPr>
      </w:pPr>
      <w:r w:rsidRPr="003B5A96">
        <w:rPr>
          <w:rFonts w:ascii="Arial" w:hAnsi="Arial" w:cs="Arial"/>
        </w:rPr>
        <w:t>Green Economy development programme until 2029</w:t>
      </w:r>
    </w:p>
    <w:p w14:paraId="52B90A16" w14:textId="77777777" w:rsidR="001175BE" w:rsidRPr="007969E9" w:rsidRDefault="001175BE" w:rsidP="001175BE">
      <w:pPr>
        <w:autoSpaceDE/>
        <w:autoSpaceDN/>
        <w:adjustRightInd/>
        <w:spacing w:after="160" w:line="259" w:lineRule="auto"/>
        <w:ind w:left="720"/>
        <w:jc w:val="both"/>
        <w:rPr>
          <w:rFonts w:ascii="Arial" w:hAnsi="Arial" w:cs="Arial"/>
        </w:rPr>
      </w:pPr>
    </w:p>
    <w:p w14:paraId="1FC4DD43" w14:textId="07EB99AC" w:rsidR="001175BE" w:rsidRPr="007969E9" w:rsidRDefault="001175BE" w:rsidP="001175BE">
      <w:pPr>
        <w:rPr>
          <w:rFonts w:ascii="Arial" w:hAnsi="Arial" w:cs="Arial"/>
          <w:b/>
          <w:bCs/>
        </w:rPr>
      </w:pPr>
      <w:r w:rsidRPr="007969E9">
        <w:rPr>
          <w:rFonts w:ascii="Arial" w:hAnsi="Arial" w:cs="Arial"/>
          <w:b/>
          <w:bCs/>
        </w:rPr>
        <w:t>The country’s financial profile</w:t>
      </w:r>
      <w:r w:rsidR="002F41CC" w:rsidRPr="007969E9">
        <w:rPr>
          <w:rFonts w:ascii="Arial" w:hAnsi="Arial" w:cs="Arial"/>
          <w:b/>
          <w:bCs/>
        </w:rPr>
        <w:t>: recent economic developments</w:t>
      </w:r>
    </w:p>
    <w:p w14:paraId="155366E3" w14:textId="009143E7" w:rsidR="004B792C" w:rsidRDefault="00A26E88" w:rsidP="001175BE">
      <w:pPr>
        <w:jc w:val="both"/>
        <w:rPr>
          <w:rFonts w:ascii="Arial" w:hAnsi="Arial" w:cs="Arial"/>
        </w:rPr>
      </w:pPr>
      <w:r>
        <w:rPr>
          <w:rFonts w:ascii="Arial" w:hAnsi="Arial" w:cs="Arial"/>
        </w:rPr>
        <w:t>In 2025,</w:t>
      </w:r>
      <w:r w:rsidR="00337656" w:rsidRPr="00337656">
        <w:rPr>
          <w:rFonts w:ascii="Arial" w:hAnsi="Arial" w:cs="Arial"/>
        </w:rPr>
        <w:t xml:space="preserve"> Kyrgyzstan’s economy demonstrated strong and sustained growth, with GDP increasing by </w:t>
      </w:r>
      <w:r w:rsidR="00F85ECC">
        <w:rPr>
          <w:rFonts w:ascii="Arial" w:hAnsi="Arial" w:cs="Arial"/>
        </w:rPr>
        <w:t>10</w:t>
      </w:r>
      <w:r w:rsidR="00337656" w:rsidRPr="00337656">
        <w:rPr>
          <w:rFonts w:ascii="Arial" w:hAnsi="Arial" w:cs="Arial"/>
        </w:rPr>
        <w:t xml:space="preserve">% year-on-year, reaching </w:t>
      </w:r>
      <w:r w:rsidR="00FA29B9" w:rsidRPr="00FA29B9">
        <w:rPr>
          <w:rFonts w:ascii="Arial" w:hAnsi="Arial" w:cs="Arial"/>
        </w:rPr>
        <w:t>KGS 1.427 trillion (preliminary)</w:t>
      </w:r>
      <w:r w:rsidR="00FA29B9">
        <w:rPr>
          <w:rFonts w:ascii="Arial" w:hAnsi="Arial" w:cs="Arial"/>
        </w:rPr>
        <w:t xml:space="preserve"> </w:t>
      </w:r>
      <w:r w:rsidR="00337656" w:rsidRPr="00337656">
        <w:rPr>
          <w:rFonts w:ascii="Arial" w:hAnsi="Arial" w:cs="Arial"/>
        </w:rPr>
        <w:t>by the end of</w:t>
      </w:r>
      <w:r w:rsidR="00FA29B9">
        <w:rPr>
          <w:rFonts w:ascii="Arial" w:hAnsi="Arial" w:cs="Arial"/>
        </w:rPr>
        <w:t xml:space="preserve"> October 2025</w:t>
      </w:r>
      <w:r w:rsidR="00C54122">
        <w:rPr>
          <w:rFonts w:ascii="Arial" w:hAnsi="Arial" w:cs="Arial"/>
        </w:rPr>
        <w:t xml:space="preserve">, </w:t>
      </w:r>
      <w:r w:rsidR="00C54122" w:rsidRPr="00C54122">
        <w:rPr>
          <w:rFonts w:ascii="Arial" w:hAnsi="Arial" w:cs="Arial"/>
        </w:rPr>
        <w:t>driven primarily by investment-led expansion in construction, manufacturing, mining, energy, and municipal infrastructure, alongside resilient domestic demand in services such as trade, transport, hospitality, and communications.</w:t>
      </w:r>
      <w:r w:rsidR="00337656" w:rsidRPr="00337656">
        <w:rPr>
          <w:rFonts w:ascii="Arial" w:hAnsi="Arial" w:cs="Arial"/>
        </w:rPr>
        <w:t xml:space="preserve"> The structural composition of GDP shows a continuing shift toward industrialization and services, with commodity production accounting for 35% and services for 5</w:t>
      </w:r>
      <w:r w:rsidR="00BE6F09">
        <w:rPr>
          <w:rFonts w:ascii="Arial" w:hAnsi="Arial" w:cs="Arial"/>
        </w:rPr>
        <w:t>0</w:t>
      </w:r>
      <w:r w:rsidR="00337656" w:rsidRPr="00337656">
        <w:rPr>
          <w:rFonts w:ascii="Arial" w:hAnsi="Arial" w:cs="Arial"/>
        </w:rPr>
        <w:t>% of GDP.</w:t>
      </w:r>
    </w:p>
    <w:p w14:paraId="4D011510" w14:textId="45AE15EA" w:rsidR="00A95276" w:rsidRDefault="00A95276" w:rsidP="001175BE">
      <w:pPr>
        <w:jc w:val="both"/>
        <w:rPr>
          <w:rFonts w:ascii="Arial" w:hAnsi="Arial" w:cs="Arial"/>
        </w:rPr>
      </w:pPr>
      <w:r w:rsidRPr="00A95276">
        <w:rPr>
          <w:rFonts w:ascii="Arial" w:hAnsi="Arial" w:cs="Arial"/>
        </w:rPr>
        <w:t>On the fiscal side, tax revenues rose by 12.0%, though their share in GDP decreased slightly to 16.6%, reflecting strong nominal GDP growth. Despite global uncertainties, inflation moderated to mid-single digits, supported by the National Bank of the Kyrgyz Republic’s prudent monetary policy. The fiscal position remained stable, with a continued push by the government to phase out energy subsidies and strengthen domestic revenue mobilization for long-term sustainability.</w:t>
      </w:r>
    </w:p>
    <w:p w14:paraId="25C71C51" w14:textId="508A73F1" w:rsidR="003F7ABF" w:rsidRPr="007969E9" w:rsidRDefault="003F7ABF" w:rsidP="001175BE">
      <w:pPr>
        <w:jc w:val="both"/>
        <w:rPr>
          <w:rFonts w:ascii="Arial" w:hAnsi="Arial" w:cs="Arial"/>
        </w:rPr>
      </w:pPr>
      <w:r>
        <w:rPr>
          <w:rFonts w:ascii="Arial" w:hAnsi="Arial" w:cs="Arial"/>
        </w:rPr>
        <w:lastRenderedPageBreak/>
        <w:t>L</w:t>
      </w:r>
      <w:r w:rsidRPr="003F7ABF">
        <w:rPr>
          <w:rFonts w:ascii="Arial" w:hAnsi="Arial" w:cs="Arial"/>
        </w:rPr>
        <w:t>ooking ahead, the economic outlook remains positive. The Eurasian Development Bank (EDB) projects GDP growth of 10.3% for the full year, reflecting continued momentum in construction and industry. However, multilateral institutions caution that sustaining this trajectory will require structural reforms in energy, governance, and public investment management, alongside increased efforts to enhance climate resilience and address vulnerabilities such as high informality, regional instability, and commodity price volatility.</w:t>
      </w:r>
    </w:p>
    <w:p w14:paraId="73F691EF" w14:textId="4DF6B136" w:rsidR="00EB7196" w:rsidRPr="007969E9" w:rsidRDefault="00EB7196" w:rsidP="001175BE">
      <w:pPr>
        <w:jc w:val="both"/>
        <w:rPr>
          <w:rFonts w:ascii="Arial" w:hAnsi="Arial" w:cs="Arial"/>
        </w:rPr>
      </w:pPr>
      <w:r w:rsidRPr="007969E9">
        <w:rPr>
          <w:rFonts w:ascii="Arial" w:hAnsi="Arial" w:cs="Arial"/>
        </w:rPr>
        <w:t xml:space="preserve">Though </w:t>
      </w:r>
      <w:r w:rsidR="00F01DC8">
        <w:rPr>
          <w:rFonts w:ascii="Arial" w:hAnsi="Arial" w:cs="Arial"/>
        </w:rPr>
        <w:t xml:space="preserve">the </w:t>
      </w:r>
      <w:r w:rsidRPr="007969E9">
        <w:rPr>
          <w:rFonts w:ascii="Arial" w:hAnsi="Arial" w:cs="Arial"/>
        </w:rPr>
        <w:t xml:space="preserve">economy of the country </w:t>
      </w:r>
      <w:r w:rsidR="00C557BB">
        <w:rPr>
          <w:rFonts w:ascii="Arial" w:hAnsi="Arial" w:cs="Arial"/>
        </w:rPr>
        <w:t>has recovered from the COVID-19 impact and is showing positive development in the last 2 years</w:t>
      </w:r>
      <w:r w:rsidR="007D369B" w:rsidRPr="007969E9">
        <w:rPr>
          <w:rFonts w:ascii="Arial" w:hAnsi="Arial" w:cs="Arial"/>
        </w:rPr>
        <w:t xml:space="preserve">, due to the geo-political situation, the government of the country is placing the priorities on other sectors, which entail </w:t>
      </w:r>
      <w:r w:rsidR="008C2344" w:rsidRPr="007969E9">
        <w:rPr>
          <w:rFonts w:ascii="Arial" w:hAnsi="Arial" w:cs="Arial"/>
        </w:rPr>
        <w:t>low allocation</w:t>
      </w:r>
      <w:r w:rsidR="007D369B" w:rsidRPr="007969E9">
        <w:rPr>
          <w:rFonts w:ascii="Arial" w:hAnsi="Arial" w:cs="Arial"/>
        </w:rPr>
        <w:t xml:space="preserve"> in the state budget expenditures, especially in relation to low-priority and non-priority sectors, which usually include the environmental sector. </w:t>
      </w:r>
    </w:p>
    <w:p w14:paraId="67E5C9B1" w14:textId="3A917B5A" w:rsidR="008A77FA" w:rsidRPr="007969E9" w:rsidRDefault="009917C8" w:rsidP="0041516B">
      <w:pPr>
        <w:pStyle w:val="20"/>
      </w:pPr>
      <w:bookmarkStart w:id="20" w:name="_Toc219880826"/>
      <w:r w:rsidRPr="007969E9">
        <w:t xml:space="preserve">National </w:t>
      </w:r>
      <w:r w:rsidR="00A16179" w:rsidRPr="007969E9">
        <w:t>implementation context</w:t>
      </w:r>
      <w:bookmarkEnd w:id="20"/>
    </w:p>
    <w:p w14:paraId="005C386B" w14:textId="25CEA754" w:rsidR="001B245E" w:rsidRPr="007969E9" w:rsidRDefault="001B245E" w:rsidP="001B76BE">
      <w:pPr>
        <w:pStyle w:val="a0"/>
        <w:jc w:val="both"/>
      </w:pPr>
      <w:r w:rsidRPr="007969E9">
        <w:t xml:space="preserve">The Biodiversity Finance Plan </w:t>
      </w:r>
      <w:r w:rsidR="00B84AEF" w:rsidRPr="007969E9">
        <w:t xml:space="preserve">(BFP) </w:t>
      </w:r>
      <w:r w:rsidRPr="007969E9">
        <w:t>of the Kyrgyz Republic is aimed at addressing the following issues identified as a result of the analysis of the status of biodiversity financing in the country:</w:t>
      </w:r>
    </w:p>
    <w:p w14:paraId="6CED0AAE" w14:textId="77777777" w:rsidR="001B245E" w:rsidRPr="007969E9" w:rsidRDefault="001B245E" w:rsidP="001B76BE">
      <w:pPr>
        <w:pStyle w:val="a0"/>
        <w:jc w:val="both"/>
      </w:pPr>
      <w:r w:rsidRPr="007969E9">
        <w:t>1) Poor management of ecosystems and ecosystem services;</w:t>
      </w:r>
    </w:p>
    <w:p w14:paraId="5CBFB3AF" w14:textId="77777777" w:rsidR="001B245E" w:rsidRPr="007969E9" w:rsidRDefault="001B245E" w:rsidP="001B76BE">
      <w:pPr>
        <w:pStyle w:val="a0"/>
        <w:jc w:val="both"/>
      </w:pPr>
      <w:r w:rsidRPr="007969E9">
        <w:t xml:space="preserve">2) Actual lack of alternative sources of financing for biodiversity conservation, </w:t>
      </w:r>
    </w:p>
    <w:p w14:paraId="415D219B" w14:textId="77777777" w:rsidR="001B245E" w:rsidRPr="007969E9" w:rsidRDefault="001B245E" w:rsidP="001B76BE">
      <w:pPr>
        <w:pStyle w:val="a0"/>
        <w:jc w:val="both"/>
      </w:pPr>
      <w:r w:rsidRPr="007969E9">
        <w:t>3) Existing public policy measures that are harmful to biodiversity;</w:t>
      </w:r>
    </w:p>
    <w:p w14:paraId="2CDF19C4" w14:textId="77777777" w:rsidR="001B245E" w:rsidRPr="007969E9" w:rsidRDefault="001B245E" w:rsidP="001B76BE">
      <w:pPr>
        <w:pStyle w:val="a0"/>
        <w:jc w:val="both"/>
      </w:pPr>
      <w:r w:rsidRPr="007969E9">
        <w:t>4) Lack of a system for optimal use of financial resources for environmental activities to be implemented by public authorities and local self-governments.</w:t>
      </w:r>
    </w:p>
    <w:p w14:paraId="05EC419C" w14:textId="77777777" w:rsidR="001B245E" w:rsidRPr="007969E9" w:rsidRDefault="001B245E" w:rsidP="001B76BE">
      <w:pPr>
        <w:pStyle w:val="a0"/>
        <w:jc w:val="both"/>
      </w:pPr>
      <w:r w:rsidRPr="007969E9">
        <w:t xml:space="preserve">Thus, they aim to reduce the financial gap and to introduce new instruments to mobilize additional resources for the conservation of nature through achieving the following objectives: </w:t>
      </w:r>
    </w:p>
    <w:p w14:paraId="539DA323" w14:textId="77777777" w:rsidR="001B245E" w:rsidRPr="007969E9" w:rsidRDefault="001B245E" w:rsidP="001B76BE">
      <w:pPr>
        <w:pStyle w:val="a0"/>
        <w:jc w:val="both"/>
      </w:pPr>
      <w:r w:rsidRPr="007969E9">
        <w:t>-</w:t>
      </w:r>
      <w:r w:rsidRPr="007969E9">
        <w:tab/>
        <w:t>Objective 1: Establish a framework for effective ecosystem management</w:t>
      </w:r>
    </w:p>
    <w:p w14:paraId="618848A9" w14:textId="77777777" w:rsidR="001B245E" w:rsidRPr="007969E9" w:rsidRDefault="001B245E" w:rsidP="001B76BE">
      <w:pPr>
        <w:pStyle w:val="a0"/>
        <w:jc w:val="both"/>
      </w:pPr>
      <w:r w:rsidRPr="007969E9">
        <w:t>-</w:t>
      </w:r>
      <w:r w:rsidRPr="007969E9">
        <w:tab/>
        <w:t>Objective 2: Introduce alternative sources of financing for biodiversity conservation</w:t>
      </w:r>
    </w:p>
    <w:p w14:paraId="44585828" w14:textId="77777777" w:rsidR="001B245E" w:rsidRPr="007969E9" w:rsidRDefault="001B245E" w:rsidP="001B76BE">
      <w:pPr>
        <w:pStyle w:val="a0"/>
        <w:jc w:val="both"/>
      </w:pPr>
      <w:r w:rsidRPr="007969E9">
        <w:t>-</w:t>
      </w:r>
      <w:r w:rsidRPr="007969E9">
        <w:tab/>
        <w:t>Objective 3: Reform of government subsidies: transforming harmful and introducing biodiversity-friendly subsidies</w:t>
      </w:r>
    </w:p>
    <w:p w14:paraId="0C3ACB6E" w14:textId="77777777" w:rsidR="001B245E" w:rsidRPr="007969E9" w:rsidRDefault="001B245E" w:rsidP="001B76BE">
      <w:pPr>
        <w:pStyle w:val="a0"/>
        <w:jc w:val="both"/>
      </w:pPr>
      <w:r w:rsidRPr="007969E9">
        <w:t>-</w:t>
      </w:r>
      <w:r w:rsidRPr="007969E9">
        <w:tab/>
        <w:t>Objective 4: Enabling the optimal financing of environmental protection activities of state bodies</w:t>
      </w:r>
    </w:p>
    <w:p w14:paraId="0A071123" w14:textId="469AE6B8" w:rsidR="00C07F88" w:rsidRPr="007969E9" w:rsidRDefault="001B245E" w:rsidP="001B76BE">
      <w:pPr>
        <w:pStyle w:val="a0"/>
        <w:jc w:val="both"/>
      </w:pPr>
      <w:r w:rsidRPr="007969E9">
        <w:t>It is impossible to achieve these objectives by one organization alone. Therefore, the programme's approach is guided by the principles of broad participation and partnership (across the public and private sectors as well as civil society), and the capacity development of the key partners to ensure the country ownership and sustainability of results.</w:t>
      </w:r>
    </w:p>
    <w:p w14:paraId="73B98754" w14:textId="0D1D6313" w:rsidR="00EF40FF" w:rsidRPr="007969E9" w:rsidRDefault="00612A62" w:rsidP="00EF40FF">
      <w:pPr>
        <w:pStyle w:val="1"/>
      </w:pPr>
      <w:bookmarkStart w:id="21" w:name="_Hlk97904209"/>
      <w:bookmarkStart w:id="22" w:name="_Toc219880827"/>
      <w:r w:rsidRPr="007969E9">
        <w:lastRenderedPageBreak/>
        <w:t>Overview of key results</w:t>
      </w:r>
      <w:bookmarkEnd w:id="21"/>
      <w:bookmarkEnd w:id="22"/>
    </w:p>
    <w:p w14:paraId="355F6614" w14:textId="03388694" w:rsidR="00DA44CE" w:rsidRPr="007969E9" w:rsidRDefault="00DA44CE" w:rsidP="00DA44CE">
      <w:pPr>
        <w:jc w:val="both"/>
        <w:rPr>
          <w:rFonts w:ascii="Arial" w:hAnsi="Arial" w:cs="Arial"/>
        </w:rPr>
      </w:pPr>
      <w:r w:rsidRPr="007969E9">
        <w:rPr>
          <w:rFonts w:ascii="Arial" w:hAnsi="Arial" w:cs="Arial"/>
        </w:rPr>
        <w:t xml:space="preserve">The sub-sections below outline the country programme’s progress related to its targeted results. Progress towards the targeted results is described according to the key result areas of the BIOFIN </w:t>
      </w:r>
      <w:r w:rsidR="00D21E48" w:rsidRPr="007969E9">
        <w:rPr>
          <w:rFonts w:ascii="Arial" w:hAnsi="Arial" w:cs="Arial"/>
        </w:rPr>
        <w:t>Theory of Change (</w:t>
      </w:r>
      <w:r w:rsidRPr="007969E9">
        <w:rPr>
          <w:rFonts w:ascii="Arial" w:hAnsi="Arial" w:cs="Arial"/>
        </w:rPr>
        <w:t>ToC</w:t>
      </w:r>
      <w:r w:rsidR="00D21E48" w:rsidRPr="007969E9">
        <w:rPr>
          <w:rFonts w:ascii="Arial" w:hAnsi="Arial" w:cs="Arial"/>
        </w:rPr>
        <w:t>)</w:t>
      </w:r>
      <w:r w:rsidRPr="007969E9">
        <w:rPr>
          <w:rFonts w:ascii="Arial" w:hAnsi="Arial" w:cs="Arial"/>
        </w:rPr>
        <w:t>, which is shown below.</w:t>
      </w:r>
    </w:p>
    <w:p w14:paraId="27DBEBE7" w14:textId="77777777" w:rsidR="00DA44CE" w:rsidRPr="007969E9" w:rsidRDefault="00DA44CE" w:rsidP="00DA44CE">
      <w:pPr>
        <w:keepNext/>
        <w:jc w:val="center"/>
        <w:rPr>
          <w:rFonts w:ascii="Arial" w:hAnsi="Arial" w:cs="Arial"/>
        </w:rPr>
      </w:pPr>
      <w:r w:rsidRPr="007969E9">
        <w:rPr>
          <w:rFonts w:ascii="Arial" w:hAnsi="Arial" w:cs="Arial"/>
          <w:b/>
          <w:bCs/>
          <w:color w:val="0070C0"/>
        </w:rPr>
        <w:t xml:space="preserve">Figure </w:t>
      </w:r>
      <w:r w:rsidRPr="007969E9">
        <w:rPr>
          <w:rFonts w:ascii="Arial" w:hAnsi="Arial" w:cs="Arial"/>
          <w:b/>
          <w:bCs/>
          <w:color w:val="0070C0"/>
        </w:rPr>
        <w:fldChar w:fldCharType="begin"/>
      </w:r>
      <w:r w:rsidRPr="007969E9">
        <w:rPr>
          <w:rFonts w:ascii="Arial" w:hAnsi="Arial" w:cs="Arial"/>
          <w:b/>
          <w:bCs/>
          <w:color w:val="0070C0"/>
        </w:rPr>
        <w:instrText xml:space="preserve"> SEQ Figure \* ARABIC </w:instrText>
      </w:r>
      <w:r w:rsidRPr="007969E9">
        <w:rPr>
          <w:rFonts w:ascii="Arial" w:hAnsi="Arial" w:cs="Arial"/>
          <w:b/>
          <w:bCs/>
          <w:color w:val="0070C0"/>
        </w:rPr>
        <w:fldChar w:fldCharType="separate"/>
      </w:r>
      <w:r w:rsidRPr="007969E9">
        <w:rPr>
          <w:rFonts w:ascii="Arial" w:hAnsi="Arial" w:cs="Arial"/>
          <w:b/>
          <w:bCs/>
          <w:noProof/>
          <w:color w:val="0070C0"/>
        </w:rPr>
        <w:t>1</w:t>
      </w:r>
      <w:r w:rsidRPr="007969E9">
        <w:rPr>
          <w:rFonts w:ascii="Arial" w:hAnsi="Arial" w:cs="Arial"/>
          <w:color w:val="0070C0"/>
        </w:rPr>
        <w:fldChar w:fldCharType="end"/>
      </w:r>
      <w:r w:rsidRPr="007969E9">
        <w:rPr>
          <w:rFonts w:ascii="Arial" w:hAnsi="Arial" w:cs="Arial"/>
        </w:rPr>
        <w:t>: The BIOFIN theory of change</w:t>
      </w:r>
    </w:p>
    <w:p w14:paraId="0750F944" w14:textId="64BBE85B" w:rsidR="00EF40FF" w:rsidRPr="007969E9" w:rsidRDefault="00DA44CE" w:rsidP="00DA44CE">
      <w:pPr>
        <w:jc w:val="center"/>
        <w:rPr>
          <w:rFonts w:ascii="Arial" w:hAnsi="Arial" w:cs="Arial"/>
        </w:rPr>
      </w:pPr>
      <w:r w:rsidRPr="007969E9">
        <w:rPr>
          <w:rFonts w:ascii="Arial" w:hAnsi="Arial" w:cs="Arial"/>
          <w:noProof/>
        </w:rPr>
        <w:drawing>
          <wp:inline distT="0" distB="0" distL="0" distR="0" wp14:anchorId="00DB6914" wp14:editId="53D0562E">
            <wp:extent cx="5757758" cy="2827517"/>
            <wp:effectExtent l="19050" t="19050" r="14605" b="11430"/>
            <wp:docPr id="1" name="Image 2">
              <a:extLst xmlns:a="http://schemas.openxmlformats.org/drawingml/2006/main">
                <a:ext uri="{FF2B5EF4-FFF2-40B4-BE49-F238E27FC236}">
                  <a16:creationId xmlns:a16="http://schemas.microsoft.com/office/drawing/2014/main" id="{8FF961AC-55B9-4CE0-BF1A-FEEB469168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a:extLst>
                        <a:ext uri="{FF2B5EF4-FFF2-40B4-BE49-F238E27FC236}">
                          <a16:creationId xmlns:a16="http://schemas.microsoft.com/office/drawing/2014/main" id="{8FF961AC-55B9-4CE0-BF1A-FEEB46916842}"/>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71475" cy="2834253"/>
                    </a:xfrm>
                    <a:prstGeom prst="rect">
                      <a:avLst/>
                    </a:prstGeom>
                    <a:ln>
                      <a:solidFill>
                        <a:srgbClr val="133A6E"/>
                      </a:solidFill>
                    </a:ln>
                  </pic:spPr>
                </pic:pic>
              </a:graphicData>
            </a:graphic>
          </wp:inline>
        </w:drawing>
      </w:r>
    </w:p>
    <w:p w14:paraId="1E06C955" w14:textId="4D7F4EB2" w:rsidR="002511EB" w:rsidRPr="007969E9" w:rsidRDefault="002511EB" w:rsidP="002511EB">
      <w:pPr>
        <w:pStyle w:val="20"/>
      </w:pPr>
      <w:bookmarkStart w:id="23" w:name="_Toc141713914"/>
      <w:bookmarkStart w:id="24" w:name="_Hlk97659992"/>
      <w:bookmarkStart w:id="25" w:name="_Toc219880828"/>
      <w:r w:rsidRPr="007969E9">
        <w:t>FS</w:t>
      </w:r>
      <w:r w:rsidR="001C52C9">
        <w:t xml:space="preserve"> 1</w:t>
      </w:r>
      <w:r w:rsidRPr="007969E9">
        <w:t xml:space="preserve"> «Establishment of the Biodiversity Conservation Trust Fund»</w:t>
      </w:r>
      <w:bookmarkEnd w:id="23"/>
      <w:bookmarkEnd w:id="25"/>
    </w:p>
    <w:p w14:paraId="05668099" w14:textId="2E978518" w:rsidR="002511EB" w:rsidRPr="007969E9" w:rsidRDefault="00350764" w:rsidP="002511EB">
      <w:pPr>
        <w:jc w:val="both"/>
        <w:rPr>
          <w:rFonts w:ascii="Arial" w:hAnsi="Arial" w:cs="Arial"/>
        </w:rPr>
      </w:pPr>
      <w:r w:rsidRPr="00350764">
        <w:rPr>
          <w:rFonts w:ascii="Arial" w:hAnsi="Arial" w:cs="Arial"/>
        </w:rPr>
        <w:t>The Biodiversity Finance Policy and Institutional Review (PIR) and Biodiversity Expenditure Review (BER) highlighted a critical funding gap in biodiversity conservation, with limited contributions from public, donor, and private sectors. The Biodiversity Financial Needs Assessment (FNA)</w:t>
      </w:r>
      <w:r w:rsidR="00C920AE">
        <w:rPr>
          <w:rFonts w:ascii="Arial" w:hAnsi="Arial" w:cs="Arial"/>
        </w:rPr>
        <w:t xml:space="preserve"> </w:t>
      </w:r>
      <w:r w:rsidR="008B536F">
        <w:rPr>
          <w:rFonts w:ascii="Arial" w:hAnsi="Arial" w:cs="Arial"/>
        </w:rPr>
        <w:t>updated</w:t>
      </w:r>
      <w:r w:rsidR="00C920AE">
        <w:rPr>
          <w:rFonts w:ascii="Arial" w:hAnsi="Arial" w:cs="Arial"/>
        </w:rPr>
        <w:t xml:space="preserve"> in </w:t>
      </w:r>
      <w:r w:rsidR="005A6D77" w:rsidRPr="005A6D77">
        <w:rPr>
          <w:rFonts w:ascii="Arial" w:hAnsi="Arial" w:cs="Arial"/>
        </w:rPr>
        <w:t>2025</w:t>
      </w:r>
      <w:r w:rsidR="00CF3E45">
        <w:rPr>
          <w:rFonts w:ascii="Arial" w:hAnsi="Arial" w:cs="Arial"/>
        </w:rPr>
        <w:t>,</w:t>
      </w:r>
      <w:r w:rsidRPr="00350764">
        <w:rPr>
          <w:rFonts w:ascii="Arial" w:hAnsi="Arial" w:cs="Arial"/>
        </w:rPr>
        <w:t xml:space="preserve"> estimated that </w:t>
      </w:r>
      <w:r w:rsidR="008B536F">
        <w:rPr>
          <w:rFonts w:ascii="Arial" w:hAnsi="Arial" w:cs="Arial"/>
        </w:rPr>
        <w:t>around 184 million USD</w:t>
      </w:r>
      <w:r w:rsidR="008C77B9">
        <w:rPr>
          <w:rFonts w:ascii="Arial" w:hAnsi="Arial" w:cs="Arial"/>
        </w:rPr>
        <w:t xml:space="preserve"> is </w:t>
      </w:r>
      <w:r w:rsidRPr="00350764">
        <w:rPr>
          <w:rFonts w:ascii="Arial" w:hAnsi="Arial" w:cs="Arial"/>
        </w:rPr>
        <w:t xml:space="preserve">required to implement </w:t>
      </w:r>
      <w:r w:rsidR="00B06E43">
        <w:rPr>
          <w:rFonts w:ascii="Arial" w:hAnsi="Arial" w:cs="Arial"/>
        </w:rPr>
        <w:t xml:space="preserve">Kyrgyzstan’s </w:t>
      </w:r>
      <w:r w:rsidRPr="00350764">
        <w:rPr>
          <w:rFonts w:ascii="Arial" w:hAnsi="Arial" w:cs="Arial"/>
        </w:rPr>
        <w:t>National Biodiversity Strategy and Action Plan (NBSAP) for 20</w:t>
      </w:r>
      <w:r w:rsidR="008C77B9">
        <w:rPr>
          <w:rFonts w:ascii="Arial" w:hAnsi="Arial" w:cs="Arial"/>
        </w:rPr>
        <w:t>25</w:t>
      </w:r>
      <w:r w:rsidRPr="00350764">
        <w:rPr>
          <w:rFonts w:ascii="Arial" w:hAnsi="Arial" w:cs="Arial"/>
        </w:rPr>
        <w:t>–20</w:t>
      </w:r>
      <w:r w:rsidR="008C1BD2">
        <w:rPr>
          <w:rFonts w:ascii="Arial" w:hAnsi="Arial" w:cs="Arial"/>
        </w:rPr>
        <w:t>30 that was developed in 2025 and is currently undergoing the approval process</w:t>
      </w:r>
      <w:r w:rsidR="004E0672">
        <w:rPr>
          <w:rFonts w:ascii="Arial" w:hAnsi="Arial" w:cs="Arial"/>
        </w:rPr>
        <w:t>.</w:t>
      </w:r>
      <w:r w:rsidR="00D104DF">
        <w:rPr>
          <w:rFonts w:ascii="Arial" w:hAnsi="Arial" w:cs="Arial"/>
        </w:rPr>
        <w:t xml:space="preserve"> The FNA also revealed </w:t>
      </w:r>
      <w:r w:rsidR="00E05F5D">
        <w:rPr>
          <w:rFonts w:ascii="Arial" w:hAnsi="Arial" w:cs="Arial"/>
        </w:rPr>
        <w:t>the financing gap of around 55 million USD</w:t>
      </w:r>
      <w:r w:rsidRPr="00350764">
        <w:rPr>
          <w:rFonts w:ascii="Arial" w:hAnsi="Arial" w:cs="Arial"/>
        </w:rPr>
        <w:t xml:space="preserve">, underscoring the </w:t>
      </w:r>
      <w:r w:rsidR="00C05C1A">
        <w:rPr>
          <w:rFonts w:ascii="Arial" w:hAnsi="Arial" w:cs="Arial"/>
        </w:rPr>
        <w:t>further</w:t>
      </w:r>
      <w:r w:rsidRPr="00350764">
        <w:rPr>
          <w:rFonts w:ascii="Arial" w:hAnsi="Arial" w:cs="Arial"/>
        </w:rPr>
        <w:t xml:space="preserve"> need for </w:t>
      </w:r>
      <w:r w:rsidR="00C05C1A">
        <w:rPr>
          <w:rFonts w:ascii="Arial" w:hAnsi="Arial" w:cs="Arial"/>
        </w:rPr>
        <w:t xml:space="preserve">developing and implementing the </w:t>
      </w:r>
      <w:r w:rsidRPr="00350764">
        <w:rPr>
          <w:rFonts w:ascii="Arial" w:hAnsi="Arial" w:cs="Arial"/>
        </w:rPr>
        <w:t>innovative financing mechanisms</w:t>
      </w:r>
      <w:r w:rsidR="00C05C1A">
        <w:rPr>
          <w:rFonts w:ascii="Arial" w:hAnsi="Arial" w:cs="Arial"/>
        </w:rPr>
        <w:t xml:space="preserve"> to close this financing gap</w:t>
      </w:r>
      <w:r w:rsidRPr="00350764">
        <w:rPr>
          <w:rFonts w:ascii="Arial" w:hAnsi="Arial" w:cs="Arial"/>
        </w:rPr>
        <w:t>.</w:t>
      </w:r>
      <w:r w:rsidR="002511EB" w:rsidRPr="007969E9">
        <w:rPr>
          <w:rFonts w:ascii="Arial" w:hAnsi="Arial" w:cs="Arial"/>
        </w:rPr>
        <w:t xml:space="preserve"> </w:t>
      </w:r>
    </w:p>
    <w:p w14:paraId="48602255" w14:textId="1932F0BE" w:rsidR="002511EB" w:rsidRPr="007969E9" w:rsidRDefault="00B05927" w:rsidP="001B76BE">
      <w:pPr>
        <w:jc w:val="both"/>
        <w:rPr>
          <w:rFonts w:ascii="Arial" w:hAnsi="Arial" w:cs="Arial"/>
        </w:rPr>
      </w:pPr>
      <w:r w:rsidRPr="00B05927">
        <w:rPr>
          <w:rFonts w:ascii="Arial" w:hAnsi="Arial" w:cs="Arial"/>
        </w:rPr>
        <w:t xml:space="preserve">The Biodiversity Conservation Trust Fund (CTF) aims to attract additional financial resources to support priority biodiversity conservation initiatives and ensure the successful implementation of </w:t>
      </w:r>
      <w:r>
        <w:rPr>
          <w:rFonts w:ascii="Arial" w:hAnsi="Arial" w:cs="Arial"/>
        </w:rPr>
        <w:t>conservation initiatives.</w:t>
      </w:r>
      <w:r w:rsidR="00F0004E">
        <w:rPr>
          <w:rFonts w:ascii="Arial" w:hAnsi="Arial" w:cs="Arial"/>
        </w:rPr>
        <w:t xml:space="preserve"> </w:t>
      </w:r>
      <w:r w:rsidR="00286BF3" w:rsidRPr="00F0004E">
        <w:rPr>
          <w:rFonts w:ascii="Arial" w:hAnsi="Arial" w:cs="Arial"/>
        </w:rPr>
        <w:t>NBSAP</w:t>
      </w:r>
      <w:r w:rsidR="00F0004E" w:rsidRPr="00F0004E">
        <w:rPr>
          <w:rFonts w:ascii="Arial" w:hAnsi="Arial" w:cs="Arial"/>
        </w:rPr>
        <w:t xml:space="preserve"> forms the basis for the programmatic part of the CTF</w:t>
      </w:r>
      <w:r w:rsidR="00F0004E">
        <w:rPr>
          <w:rFonts w:ascii="Arial" w:hAnsi="Arial" w:cs="Arial"/>
        </w:rPr>
        <w:t>.</w:t>
      </w:r>
    </w:p>
    <w:p w14:paraId="2B11EBED" w14:textId="77777777" w:rsidR="002511EB" w:rsidRPr="007969E9" w:rsidRDefault="002511EB" w:rsidP="001B76BE">
      <w:pPr>
        <w:pStyle w:val="3"/>
        <w:ind w:left="851" w:hanging="851"/>
        <w:jc w:val="both"/>
      </w:pPr>
      <w:bookmarkStart w:id="26" w:name="_Toc141713915"/>
      <w:bookmarkStart w:id="27" w:name="_Toc219880829"/>
      <w:r w:rsidRPr="007969E9">
        <w:lastRenderedPageBreak/>
        <w:t>B.1.1.</w:t>
      </w:r>
      <w:r w:rsidRPr="007969E9">
        <w:tab/>
        <w:t>Activities and results related to output areas</w:t>
      </w:r>
      <w:bookmarkEnd w:id="26"/>
      <w:bookmarkEnd w:id="27"/>
      <w:r w:rsidRPr="007969E9">
        <w:t xml:space="preserve"> </w:t>
      </w:r>
    </w:p>
    <w:p w14:paraId="69949CCA" w14:textId="7ACB444B" w:rsidR="002511EB" w:rsidRDefault="002511EB" w:rsidP="001B76BE">
      <w:pPr>
        <w:jc w:val="both"/>
        <w:rPr>
          <w:rFonts w:ascii="Arial" w:hAnsi="Arial" w:cs="Arial"/>
        </w:rPr>
      </w:pPr>
      <w:r w:rsidRPr="007969E9">
        <w:rPr>
          <w:rFonts w:ascii="Arial" w:hAnsi="Arial" w:cs="Arial"/>
        </w:rPr>
        <w:t xml:space="preserve">The key stakeholders for this FS are the </w:t>
      </w:r>
      <w:r w:rsidR="00F0004E" w:rsidRPr="007969E9">
        <w:rPr>
          <w:rFonts w:ascii="Arial" w:hAnsi="Arial" w:cs="Arial"/>
        </w:rPr>
        <w:t>Ministry of Natural Resources, Ecology and Technical Supervision</w:t>
      </w:r>
      <w:r w:rsidR="00F0004E">
        <w:rPr>
          <w:rFonts w:ascii="Arial" w:hAnsi="Arial" w:cs="Arial"/>
        </w:rPr>
        <w:t>,</w:t>
      </w:r>
      <w:r w:rsidR="00F0004E" w:rsidRPr="007969E9">
        <w:rPr>
          <w:rFonts w:ascii="Arial" w:hAnsi="Arial" w:cs="Arial"/>
        </w:rPr>
        <w:t xml:space="preserve"> </w:t>
      </w:r>
      <w:r w:rsidRPr="007969E9">
        <w:rPr>
          <w:rFonts w:ascii="Arial" w:hAnsi="Arial" w:cs="Arial"/>
        </w:rPr>
        <w:t xml:space="preserve">Ministry of </w:t>
      </w:r>
      <w:r w:rsidR="003F2880" w:rsidRPr="007969E9">
        <w:rPr>
          <w:rFonts w:ascii="Arial" w:hAnsi="Arial" w:cs="Arial"/>
        </w:rPr>
        <w:t xml:space="preserve">Finance, </w:t>
      </w:r>
      <w:r w:rsidR="00D00E09" w:rsidRPr="007969E9">
        <w:rPr>
          <w:rFonts w:ascii="Arial" w:hAnsi="Arial" w:cs="Arial"/>
        </w:rPr>
        <w:t>and the Ministry of Emergency Situations.</w:t>
      </w:r>
      <w:r w:rsidR="00F0004E">
        <w:rPr>
          <w:rFonts w:ascii="Arial" w:hAnsi="Arial" w:cs="Arial"/>
        </w:rPr>
        <w:t xml:space="preserve"> </w:t>
      </w:r>
    </w:p>
    <w:p w14:paraId="6D60F89B" w14:textId="5E3D9FD2" w:rsidR="003F0572" w:rsidRPr="006300F0" w:rsidRDefault="006300F0" w:rsidP="001B76BE">
      <w:pPr>
        <w:jc w:val="both"/>
        <w:rPr>
          <w:rFonts w:ascii="Arial" w:hAnsi="Arial" w:cs="Arial"/>
          <w:b/>
          <w:bCs/>
        </w:rPr>
      </w:pPr>
      <w:r w:rsidRPr="006300F0">
        <w:rPr>
          <w:rFonts w:ascii="Arial" w:hAnsi="Arial" w:cs="Arial"/>
          <w:b/>
          <w:bCs/>
        </w:rPr>
        <w:t xml:space="preserve">Leveraging UN </w:t>
      </w:r>
      <w:r w:rsidR="003F0572" w:rsidRPr="006300F0">
        <w:rPr>
          <w:rFonts w:ascii="Arial" w:hAnsi="Arial" w:cs="Arial"/>
          <w:b/>
          <w:bCs/>
        </w:rPr>
        <w:t xml:space="preserve">MPTF </w:t>
      </w:r>
      <w:r w:rsidRPr="006300F0">
        <w:rPr>
          <w:rFonts w:ascii="Arial" w:hAnsi="Arial" w:cs="Arial"/>
          <w:b/>
          <w:bCs/>
        </w:rPr>
        <w:t>gateway for establishing the CTF in the Kyrgyz Republic</w:t>
      </w:r>
    </w:p>
    <w:p w14:paraId="4BE294E7" w14:textId="2CBDCD5A" w:rsidR="00316777" w:rsidRPr="00316777" w:rsidRDefault="00316777" w:rsidP="001B76BE">
      <w:pPr>
        <w:jc w:val="both"/>
        <w:rPr>
          <w:rFonts w:ascii="Arial" w:hAnsi="Arial" w:cs="Arial"/>
        </w:rPr>
      </w:pPr>
      <w:r w:rsidRPr="00316777">
        <w:rPr>
          <w:rFonts w:ascii="Arial" w:hAnsi="Arial" w:cs="Arial"/>
        </w:rPr>
        <w:t xml:space="preserve">In 2023, a feasibility study was launched to evaluate the legal, tax, and institutional frameworks for establishing </w:t>
      </w:r>
      <w:r w:rsidR="0047024D" w:rsidRPr="00316777">
        <w:rPr>
          <w:rFonts w:ascii="Arial" w:hAnsi="Arial" w:cs="Arial"/>
        </w:rPr>
        <w:t>CTF</w:t>
      </w:r>
      <w:r w:rsidRPr="00316777">
        <w:rPr>
          <w:rFonts w:ascii="Arial" w:hAnsi="Arial" w:cs="Arial"/>
        </w:rPr>
        <w:t>. The study analyzed various models, including the potential for establishing the Fund within Kyrgyzstan or abroad. While viable options were identified, legal barriers indicated that any chosen model would require significant time for implementation.</w:t>
      </w:r>
    </w:p>
    <w:p w14:paraId="58EFAAA7" w14:textId="77777777" w:rsidR="00316777" w:rsidRDefault="00316777" w:rsidP="001B76BE">
      <w:pPr>
        <w:jc w:val="both"/>
        <w:rPr>
          <w:rFonts w:ascii="Arial" w:hAnsi="Arial" w:cs="Arial"/>
        </w:rPr>
      </w:pPr>
      <w:r w:rsidRPr="00316777">
        <w:rPr>
          <w:rFonts w:ascii="Arial" w:hAnsi="Arial" w:cs="Arial"/>
        </w:rPr>
        <w:t>Given the urgency and strong political will, UNDP proposed leveraging the UN Multi-Partner Trust Fund (MPTF) mechanism as an interim solution to expedite the Fund's establishment.</w:t>
      </w:r>
    </w:p>
    <w:p w14:paraId="610607B3" w14:textId="2ABB40B9" w:rsidR="00D70048" w:rsidRDefault="00EB661D" w:rsidP="001B76BE">
      <w:pPr>
        <w:jc w:val="both"/>
        <w:rPr>
          <w:rFonts w:ascii="Arial" w:hAnsi="Arial" w:cs="Arial"/>
        </w:rPr>
      </w:pPr>
      <w:r>
        <w:rPr>
          <w:rFonts w:ascii="Arial" w:hAnsi="Arial" w:cs="Arial"/>
        </w:rPr>
        <w:t>The concept of the CTF under the UN MPTF mechanism has been presented in</w:t>
      </w:r>
      <w:r w:rsidR="00D70048" w:rsidRPr="00D70048">
        <w:rPr>
          <w:rFonts w:ascii="Arial" w:hAnsi="Arial" w:cs="Arial"/>
        </w:rPr>
        <w:t xml:space="preserve"> 2024, </w:t>
      </w:r>
      <w:r>
        <w:rPr>
          <w:rFonts w:ascii="Arial" w:hAnsi="Arial" w:cs="Arial"/>
        </w:rPr>
        <w:t xml:space="preserve">at </w:t>
      </w:r>
      <w:r w:rsidR="00D70048" w:rsidRPr="00D70048">
        <w:rPr>
          <w:rFonts w:ascii="Arial" w:hAnsi="Arial" w:cs="Arial"/>
        </w:rPr>
        <w:t xml:space="preserve">a high-level round table </w:t>
      </w:r>
      <w:r>
        <w:rPr>
          <w:rFonts w:ascii="Arial" w:hAnsi="Arial" w:cs="Arial"/>
        </w:rPr>
        <w:t>with participation of</w:t>
      </w:r>
      <w:r w:rsidR="00D70048" w:rsidRPr="00D70048">
        <w:rPr>
          <w:rFonts w:ascii="Arial" w:hAnsi="Arial" w:cs="Arial"/>
        </w:rPr>
        <w:t xml:space="preserve"> government agencies, diplomatic missions, UN bodies, financial institutions, and environmental organizations</w:t>
      </w:r>
      <w:r w:rsidR="00777AC0">
        <w:rPr>
          <w:rFonts w:ascii="Arial" w:hAnsi="Arial" w:cs="Arial"/>
        </w:rPr>
        <w:t xml:space="preserve"> and received the </w:t>
      </w:r>
      <w:r w:rsidR="00CE0DF2">
        <w:rPr>
          <w:rFonts w:ascii="Arial" w:hAnsi="Arial" w:cs="Arial"/>
        </w:rPr>
        <w:t>support of stakeholders</w:t>
      </w:r>
      <w:r w:rsidR="00023227">
        <w:rPr>
          <w:rFonts w:ascii="Arial" w:hAnsi="Arial" w:cs="Arial"/>
        </w:rPr>
        <w:t xml:space="preserve">. </w:t>
      </w:r>
    </w:p>
    <w:p w14:paraId="2F1E9031" w14:textId="20CBF881" w:rsidR="002E6455" w:rsidRPr="002E6455" w:rsidRDefault="002E6455" w:rsidP="001B76BE">
      <w:pPr>
        <w:jc w:val="both"/>
        <w:rPr>
          <w:rFonts w:ascii="Arial" w:hAnsi="Arial" w:cs="Arial"/>
          <w:b/>
          <w:bCs/>
        </w:rPr>
      </w:pPr>
      <w:r w:rsidRPr="002E6455">
        <w:rPr>
          <w:rFonts w:ascii="Arial" w:hAnsi="Arial" w:cs="Arial"/>
          <w:b/>
          <w:bCs/>
        </w:rPr>
        <w:t>Foundational Document Development:</w:t>
      </w:r>
    </w:p>
    <w:p w14:paraId="434FFBAC" w14:textId="48153470" w:rsidR="001C203B" w:rsidRDefault="001C203B" w:rsidP="001B76BE">
      <w:pPr>
        <w:jc w:val="both"/>
        <w:rPr>
          <w:rFonts w:ascii="Arial" w:hAnsi="Arial" w:cs="Arial"/>
        </w:rPr>
      </w:pPr>
      <w:r w:rsidRPr="001C203B">
        <w:rPr>
          <w:rFonts w:ascii="Arial" w:hAnsi="Arial" w:cs="Arial"/>
        </w:rPr>
        <w:t>The foundational documents for the establishment of the Conservation Trust Fund (CTF) include the Terms of Reference (ToR), which outlines the Fund’s objectives, governance structure, and programmatic framework, as well as the Operations Manual. During the reporting period, the CTF ToR</w:t>
      </w:r>
      <w:r w:rsidR="007B34A9">
        <w:rPr>
          <w:rFonts w:ascii="Arial" w:hAnsi="Arial" w:cs="Arial"/>
        </w:rPr>
        <w:t xml:space="preserve"> and Operations Manual</w:t>
      </w:r>
      <w:r w:rsidRPr="001C203B">
        <w:rPr>
          <w:rFonts w:ascii="Arial" w:hAnsi="Arial" w:cs="Arial"/>
        </w:rPr>
        <w:t xml:space="preserve"> w</w:t>
      </w:r>
      <w:r w:rsidR="007B34A9">
        <w:rPr>
          <w:rFonts w:ascii="Arial" w:hAnsi="Arial" w:cs="Arial"/>
        </w:rPr>
        <w:t>ere</w:t>
      </w:r>
      <w:r w:rsidRPr="001C203B">
        <w:rPr>
          <w:rFonts w:ascii="Arial" w:hAnsi="Arial" w:cs="Arial"/>
        </w:rPr>
        <w:t xml:space="preserve"> finalized. </w:t>
      </w:r>
    </w:p>
    <w:p w14:paraId="283238D2" w14:textId="286199A4" w:rsidR="003007FB" w:rsidRDefault="003007FB" w:rsidP="001B76BE">
      <w:pPr>
        <w:jc w:val="both"/>
        <w:rPr>
          <w:rFonts w:ascii="Arial" w:hAnsi="Arial" w:cs="Arial"/>
          <w:b/>
          <w:bCs/>
        </w:rPr>
      </w:pPr>
      <w:r w:rsidRPr="003007FB">
        <w:rPr>
          <w:rFonts w:ascii="Arial" w:hAnsi="Arial" w:cs="Arial"/>
          <w:b/>
          <w:bCs/>
        </w:rPr>
        <w:t>CTF’s UN co-founding partners:</w:t>
      </w:r>
    </w:p>
    <w:p w14:paraId="079325C7" w14:textId="77777777" w:rsidR="00D0375B" w:rsidRDefault="00D0375B" w:rsidP="001B76BE">
      <w:pPr>
        <w:jc w:val="both"/>
        <w:rPr>
          <w:rFonts w:ascii="Arial" w:hAnsi="Arial" w:cs="Arial"/>
        </w:rPr>
      </w:pPr>
      <w:r w:rsidRPr="00D0375B">
        <w:rPr>
          <w:rFonts w:ascii="Arial" w:hAnsi="Arial" w:cs="Arial"/>
        </w:rPr>
        <w:t>The Multi-Partner Trust Fund (MPTF) model requires that the Conservation Trust Fund (CTF) be established by at least two UN agencies. Following the presentation of the CTF Terms of Reference (ToR) to Kyrgyzstan’s UN Country Team in early 2025, several UN agencies — including UNEP, FAO, WFP, and WHO — expressed interest in joining the initiative. After a comprehensive assessment of each agency’s mandate and its alignment with the CTF’s Theory of Change, it was agreed that UNDP, UNEP, FAO, and WFP will serve as the UN co-founding partners of the Fund, with coordination led by the UN Resident Coordinator in Kyrgyzstan. This joint UN collaboration will ensure coherent, multisectoral support for biodiversity conservation efforts in the country.</w:t>
      </w:r>
    </w:p>
    <w:p w14:paraId="22C294A9" w14:textId="57160E0D" w:rsidR="007D46A9" w:rsidRPr="001D4A0A" w:rsidRDefault="001D4A0A" w:rsidP="00540E2A">
      <w:pPr>
        <w:jc w:val="both"/>
        <w:rPr>
          <w:rFonts w:ascii="Arial" w:hAnsi="Arial" w:cs="Arial"/>
          <w:b/>
          <w:bCs/>
        </w:rPr>
      </w:pPr>
      <w:r w:rsidRPr="001D4A0A">
        <w:rPr>
          <w:rFonts w:ascii="Arial" w:hAnsi="Arial" w:cs="Arial"/>
          <w:b/>
          <w:bCs/>
        </w:rPr>
        <w:t>Resource Mobilization and Launch</w:t>
      </w:r>
      <w:r>
        <w:rPr>
          <w:rFonts w:ascii="Arial" w:hAnsi="Arial" w:cs="Arial"/>
          <w:b/>
          <w:bCs/>
        </w:rPr>
        <w:t>:</w:t>
      </w:r>
    </w:p>
    <w:p w14:paraId="1607F092" w14:textId="2B196C7C" w:rsidR="00366DA3" w:rsidRPr="00366DA3" w:rsidRDefault="00366DA3" w:rsidP="00366DA3">
      <w:pPr>
        <w:jc w:val="both"/>
        <w:rPr>
          <w:rFonts w:ascii="Arial" w:hAnsi="Arial" w:cs="Arial"/>
        </w:rPr>
      </w:pPr>
      <w:r w:rsidRPr="00366DA3">
        <w:rPr>
          <w:rFonts w:ascii="Arial" w:hAnsi="Arial" w:cs="Arial"/>
        </w:rPr>
        <w:t>The successful operationalization of the Conservation Trust Fund (CTF) hinges on securing adequate capitalization. While UNDP has maintained active engagement with a broad range of stakeholders to expand resource mobilization opportunities, these efforts have not yet resulted in formal funding commitments—despite expressed interest from various partners.</w:t>
      </w:r>
    </w:p>
    <w:p w14:paraId="49AF0555" w14:textId="082CE207" w:rsidR="00A32983" w:rsidRPr="00A32983" w:rsidRDefault="00A32983" w:rsidP="00A32983">
      <w:pPr>
        <w:jc w:val="both"/>
        <w:rPr>
          <w:rFonts w:ascii="Arial" w:hAnsi="Arial" w:cs="Arial"/>
        </w:rPr>
      </w:pPr>
      <w:r w:rsidRPr="00A32983">
        <w:rPr>
          <w:rFonts w:ascii="Arial" w:hAnsi="Arial" w:cs="Arial"/>
        </w:rPr>
        <w:lastRenderedPageBreak/>
        <w:t>To support these efforts, an Outreach Plan was developed to guide structured engagement with government counterparts and development partners. In line with the Plan, a series of technical and high-level meetings were conducted with key national stakeholders. A central objective of the high-level engagements was to explore the possibility of a Government financial contribution to the Conservation Trust Fund (CTF). Such a contribution is critical both to demonstrate national commitment to biodiversity conservation and the sustainable management of natural resources, and to catalyze additional external financing, as government co-financing serves as an important signal to international partners and donors.</w:t>
      </w:r>
    </w:p>
    <w:p w14:paraId="0A865E85" w14:textId="3C51E492" w:rsidR="00A32983" w:rsidRPr="00A32983" w:rsidRDefault="00A32983" w:rsidP="00A32983">
      <w:pPr>
        <w:jc w:val="both"/>
        <w:rPr>
          <w:rFonts w:ascii="Arial" w:hAnsi="Arial" w:cs="Arial"/>
        </w:rPr>
      </w:pPr>
      <w:r w:rsidRPr="00A32983">
        <w:rPr>
          <w:rFonts w:ascii="Arial" w:hAnsi="Arial" w:cs="Arial"/>
        </w:rPr>
        <w:t>High-level consultations with government stakeholders at the level of Deputy Ministers resulted in national partners confirming that the Government of the Kyrgyz Republic would consider providing a financial contribution to the CTF. During these discussions, a question was raised regarding the necessity of channeling the Government’s contribution through the United Nations Multi-Partner Trust Fund (MPTF), with a request to consider the option of transferring funds to a nationally based account. Following consultations with the UN MPTF Office, it was clarified that, as the CTF is being established as a pooled fund under the UN MPTF mechanism, all resources intended for the CTF must be consolidated within a single UN MPTF account. Further discussions with government counterparts on the Government’s contribution to the CTF will continue based on this clarification.</w:t>
      </w:r>
    </w:p>
    <w:p w14:paraId="4FE31B55" w14:textId="0030A088" w:rsidR="00366DA3" w:rsidRPr="00366DA3" w:rsidRDefault="00A32983" w:rsidP="00A32983">
      <w:pPr>
        <w:jc w:val="both"/>
        <w:rPr>
          <w:rFonts w:ascii="Arial" w:hAnsi="Arial" w:cs="Arial"/>
        </w:rPr>
      </w:pPr>
      <w:r w:rsidRPr="00A32983">
        <w:rPr>
          <w:rFonts w:ascii="Arial" w:hAnsi="Arial" w:cs="Arial"/>
        </w:rPr>
        <w:t>Recognizing the importance of mobilizing resources from additional sources, it was also agreed with national partners to jointly organize a donor engagement event with development partners in early 2026. The event will serve to formally introduce the CTF and explore potential financing commitments from the donor community.</w:t>
      </w:r>
      <w:r>
        <w:rPr>
          <w:rFonts w:ascii="Arial" w:hAnsi="Arial" w:cs="Arial"/>
        </w:rPr>
        <w:t xml:space="preserve"> </w:t>
      </w:r>
    </w:p>
    <w:p w14:paraId="5A8D0DA1" w14:textId="200B8513" w:rsidR="0036725A" w:rsidRPr="006F2C5C" w:rsidRDefault="00366DA3" w:rsidP="00366DA3">
      <w:pPr>
        <w:jc w:val="both"/>
        <w:rPr>
          <w:rFonts w:ascii="Arial" w:hAnsi="Arial" w:cs="Arial"/>
        </w:rPr>
      </w:pPr>
      <w:r w:rsidRPr="00366DA3">
        <w:rPr>
          <w:rFonts w:ascii="Arial" w:hAnsi="Arial" w:cs="Arial"/>
        </w:rPr>
        <w:t>To complement th</w:t>
      </w:r>
      <w:r w:rsidR="0018095F">
        <w:rPr>
          <w:rFonts w:ascii="Arial" w:hAnsi="Arial" w:cs="Arial"/>
        </w:rPr>
        <w:t>e resource mobilization</w:t>
      </w:r>
      <w:r w:rsidRPr="00366DA3">
        <w:rPr>
          <w:rFonts w:ascii="Arial" w:hAnsi="Arial" w:cs="Arial"/>
        </w:rPr>
        <w:t xml:space="preserve"> efforts, communication materials—including a promotional video</w:t>
      </w:r>
      <w:r w:rsidR="0018095F">
        <w:rPr>
          <w:rFonts w:ascii="Arial" w:hAnsi="Arial" w:cs="Arial"/>
        </w:rPr>
        <w:t xml:space="preserve"> and </w:t>
      </w:r>
      <w:r w:rsidR="007436AC">
        <w:rPr>
          <w:rFonts w:ascii="Arial" w:hAnsi="Arial" w:cs="Arial"/>
        </w:rPr>
        <w:t xml:space="preserve">an </w:t>
      </w:r>
      <w:r w:rsidRPr="00366DA3">
        <w:rPr>
          <w:rFonts w:ascii="Arial" w:hAnsi="Arial" w:cs="Arial"/>
        </w:rPr>
        <w:t>informational booklet</w:t>
      </w:r>
      <w:r w:rsidR="0018095F">
        <w:rPr>
          <w:rFonts w:ascii="Arial" w:hAnsi="Arial" w:cs="Arial"/>
        </w:rPr>
        <w:t xml:space="preserve"> were produced</w:t>
      </w:r>
      <w:r w:rsidRPr="00366DA3">
        <w:rPr>
          <w:rFonts w:ascii="Arial" w:hAnsi="Arial" w:cs="Arial"/>
        </w:rPr>
        <w:t xml:space="preserve"> to support advocacy and fundraising activities.</w:t>
      </w:r>
      <w:r w:rsidR="0036725A" w:rsidRPr="006F2C5C">
        <w:rPr>
          <w:rFonts w:ascii="Arial" w:hAnsi="Arial" w:cs="Arial"/>
        </w:rPr>
        <w:t xml:space="preserve"> </w:t>
      </w:r>
    </w:p>
    <w:p w14:paraId="082CF516" w14:textId="506CCFA4" w:rsidR="002511EB" w:rsidRPr="007969E9" w:rsidRDefault="002511EB" w:rsidP="00843D8F">
      <w:pPr>
        <w:keepNext/>
        <w:numPr>
          <w:ilvl w:val="1"/>
          <w:numId w:val="6"/>
        </w:numPr>
        <w:tabs>
          <w:tab w:val="num" w:pos="360"/>
        </w:tabs>
        <w:spacing w:before="360" w:after="120" w:line="240" w:lineRule="auto"/>
        <w:ind w:left="709" w:hanging="709"/>
        <w:outlineLvl w:val="1"/>
        <w:rPr>
          <w:rFonts w:ascii="Arial" w:hAnsi="Arial" w:cs="Arial"/>
          <w:bCs/>
          <w:color w:val="098435"/>
          <w:sz w:val="32"/>
          <w:szCs w:val="32"/>
        </w:rPr>
      </w:pPr>
      <w:bookmarkStart w:id="28" w:name="_Toc109402044"/>
      <w:bookmarkStart w:id="29" w:name="_Toc141713916"/>
      <w:bookmarkStart w:id="30" w:name="_Toc219880830"/>
      <w:bookmarkEnd w:id="28"/>
      <w:r w:rsidRPr="007969E9">
        <w:rPr>
          <w:rFonts w:ascii="Arial" w:hAnsi="Arial" w:cs="Arial"/>
          <w:bCs/>
          <w:color w:val="098435"/>
          <w:sz w:val="32"/>
          <w:szCs w:val="32"/>
        </w:rPr>
        <w:t>FS</w:t>
      </w:r>
      <w:r w:rsidR="0081176D" w:rsidRPr="007969E9">
        <w:rPr>
          <w:rFonts w:ascii="Arial" w:hAnsi="Arial" w:cs="Arial"/>
          <w:bCs/>
          <w:color w:val="098435"/>
          <w:sz w:val="32"/>
          <w:szCs w:val="32"/>
        </w:rPr>
        <w:t xml:space="preserve"> </w:t>
      </w:r>
      <w:r w:rsidR="002B6DFE" w:rsidRPr="007969E9">
        <w:rPr>
          <w:rFonts w:ascii="Arial" w:hAnsi="Arial" w:cs="Arial"/>
          <w:bCs/>
          <w:color w:val="098435"/>
          <w:sz w:val="32"/>
          <w:szCs w:val="32"/>
        </w:rPr>
        <w:t xml:space="preserve">2 </w:t>
      </w:r>
      <w:r w:rsidRPr="007969E9">
        <w:rPr>
          <w:rFonts w:ascii="Arial" w:hAnsi="Arial" w:cs="Arial"/>
          <w:bCs/>
          <w:color w:val="098435"/>
          <w:sz w:val="32"/>
          <w:szCs w:val="32"/>
        </w:rPr>
        <w:t>« Reforming harmful agricultural subsidies to remove barriers to green/organic agriculture»</w:t>
      </w:r>
      <w:bookmarkEnd w:id="29"/>
      <w:r w:rsidR="005D04D4" w:rsidRPr="007969E9">
        <w:rPr>
          <w:rFonts w:ascii="Arial" w:hAnsi="Arial" w:cs="Arial"/>
          <w:bCs/>
          <w:color w:val="098435"/>
          <w:sz w:val="32"/>
          <w:szCs w:val="32"/>
        </w:rPr>
        <w:t xml:space="preserve">, </w:t>
      </w:r>
      <w:r w:rsidR="002B6DFE" w:rsidRPr="007969E9">
        <w:rPr>
          <w:rFonts w:ascii="Arial" w:hAnsi="Arial" w:cs="Arial"/>
          <w:bCs/>
          <w:color w:val="098435"/>
          <w:sz w:val="32"/>
          <w:szCs w:val="32"/>
        </w:rPr>
        <w:t>FS 9 “Introduction of monitoring and evaluation practices for subsidy effect</w:t>
      </w:r>
      <w:r w:rsidR="002E689A" w:rsidRPr="007969E9">
        <w:rPr>
          <w:rFonts w:ascii="Arial" w:hAnsi="Arial" w:cs="Arial"/>
          <w:bCs/>
          <w:color w:val="098435"/>
          <w:sz w:val="32"/>
          <w:szCs w:val="32"/>
        </w:rPr>
        <w:t>iveness in Kyrgyzstan with a focus on potentially harmful to biodiversity subsidi</w:t>
      </w:r>
      <w:r w:rsidR="000326D3" w:rsidRPr="007969E9">
        <w:rPr>
          <w:rFonts w:ascii="Arial" w:hAnsi="Arial" w:cs="Arial"/>
          <w:bCs/>
          <w:color w:val="098435"/>
          <w:sz w:val="32"/>
          <w:szCs w:val="32"/>
        </w:rPr>
        <w:t>es”</w:t>
      </w:r>
      <w:bookmarkEnd w:id="30"/>
    </w:p>
    <w:p w14:paraId="288D8BE5" w14:textId="4F829C90" w:rsidR="00552008" w:rsidRPr="007969E9" w:rsidRDefault="004E02B3" w:rsidP="00552008">
      <w:pPr>
        <w:jc w:val="both"/>
        <w:rPr>
          <w:rFonts w:ascii="Arial" w:hAnsi="Arial" w:cs="Arial"/>
        </w:rPr>
      </w:pPr>
      <w:r w:rsidRPr="004E02B3">
        <w:rPr>
          <w:rFonts w:ascii="Arial" w:hAnsi="Arial" w:cs="Arial"/>
        </w:rPr>
        <w:t xml:space="preserve">Agriculture in Kyrgyzstan exerts significant pressure on biodiversity through uncontrolled expansion into wildlife habitats, overgrazing, inefficient water use, water pollution, and the application of agrochemicals. The sector receives substantial public support, with various subsidies and budget allocations covering measures such as concessional loans, free animal vaccinations, </w:t>
      </w:r>
      <w:r w:rsidR="004C448E">
        <w:rPr>
          <w:rFonts w:ascii="Arial" w:hAnsi="Arial" w:cs="Arial"/>
        </w:rPr>
        <w:t xml:space="preserve">and </w:t>
      </w:r>
      <w:r w:rsidRPr="004E02B3">
        <w:rPr>
          <w:rFonts w:ascii="Arial" w:hAnsi="Arial" w:cs="Arial"/>
        </w:rPr>
        <w:t xml:space="preserve">tax exemptions. </w:t>
      </w:r>
      <w:r w:rsidR="000C41A3" w:rsidRPr="000C41A3">
        <w:rPr>
          <w:rFonts w:ascii="Arial" w:hAnsi="Arial" w:cs="Arial"/>
        </w:rPr>
        <w:t>Reforming or greening environmentally harmful subsidies is increasingly recognized as a strategic approach to simultaneously reduce the fiscal burden on the state, improve environmental outcomes, and enhance economic efficiency by encouraging the adoption of sustainable agricultural practices.</w:t>
      </w:r>
      <w:r w:rsidR="000C41A3">
        <w:rPr>
          <w:rFonts w:ascii="Arial" w:hAnsi="Arial" w:cs="Arial"/>
        </w:rPr>
        <w:t xml:space="preserve"> </w:t>
      </w:r>
    </w:p>
    <w:p w14:paraId="7A98BE89" w14:textId="77777777" w:rsidR="002F0DF1" w:rsidRDefault="002F0DF1" w:rsidP="00552008">
      <w:pPr>
        <w:jc w:val="both"/>
        <w:rPr>
          <w:rFonts w:ascii="Arial" w:hAnsi="Arial" w:cs="Arial"/>
        </w:rPr>
      </w:pPr>
      <w:r w:rsidRPr="002F0DF1">
        <w:rPr>
          <w:rFonts w:ascii="Arial" w:hAnsi="Arial" w:cs="Arial"/>
        </w:rPr>
        <w:lastRenderedPageBreak/>
        <w:t>The objective of Financial Solution 2 is to design and implement measures to gradually reform or green environmentally harmful subsidies in an efficient and socially responsible manner, minimizing adverse impacts on the most vulnerable groups.</w:t>
      </w:r>
    </w:p>
    <w:p w14:paraId="36EA4DC9" w14:textId="7A5AB431" w:rsidR="002511EB" w:rsidRPr="007969E9" w:rsidRDefault="002F0DF1" w:rsidP="00552008">
      <w:pPr>
        <w:jc w:val="both"/>
        <w:rPr>
          <w:rFonts w:ascii="Arial" w:hAnsi="Arial" w:cs="Arial"/>
        </w:rPr>
      </w:pPr>
      <w:r w:rsidRPr="002F0DF1">
        <w:rPr>
          <w:rFonts w:ascii="Arial" w:hAnsi="Arial" w:cs="Arial"/>
        </w:rPr>
        <w:t xml:space="preserve">Financial Solution 9 emerged as a follow-up to the findings identified during the implementation of FS2. It addresses a critical gap: the absence of robust monitoring and evaluation (M&amp;E) systems for subsidies that negatively affect biodiversity and the environment in Kyrgyzstan. This solution aims to develop methodologies to assess the environmental and biodiversity impacts of such subsidies and to evaluate their overall effectiveness. </w:t>
      </w:r>
      <w:r w:rsidR="00552008" w:rsidRPr="007969E9">
        <w:rPr>
          <w:rFonts w:ascii="Arial" w:hAnsi="Arial" w:cs="Arial"/>
        </w:rPr>
        <w:t xml:space="preserve">  </w:t>
      </w:r>
    </w:p>
    <w:p w14:paraId="222D6117" w14:textId="77777777" w:rsidR="00F623CD" w:rsidRPr="007969E9" w:rsidRDefault="00F623CD" w:rsidP="00843D8F">
      <w:pPr>
        <w:pStyle w:val="af8"/>
        <w:keepNext/>
        <w:numPr>
          <w:ilvl w:val="0"/>
          <w:numId w:val="9"/>
        </w:numPr>
        <w:spacing w:before="360" w:after="120" w:line="240" w:lineRule="auto"/>
        <w:contextualSpacing w:val="0"/>
        <w:outlineLvl w:val="2"/>
        <w:rPr>
          <w:rFonts w:ascii="Arial" w:hAnsi="Arial" w:cs="Arial"/>
          <w:bCs/>
          <w:vanish/>
          <w:sz w:val="28"/>
          <w:szCs w:val="28"/>
        </w:rPr>
      </w:pPr>
      <w:bookmarkStart w:id="31" w:name="_Toc157162762"/>
      <w:bookmarkStart w:id="32" w:name="_Toc157163577"/>
      <w:bookmarkStart w:id="33" w:name="_Toc157266728"/>
      <w:bookmarkStart w:id="34" w:name="_Toc157266907"/>
      <w:bookmarkStart w:id="35" w:name="_Toc172315218"/>
      <w:bookmarkStart w:id="36" w:name="_Toc172315252"/>
      <w:bookmarkStart w:id="37" w:name="_Toc172315645"/>
      <w:bookmarkStart w:id="38" w:name="_Toc172317708"/>
      <w:bookmarkStart w:id="39" w:name="_Toc186229615"/>
      <w:bookmarkStart w:id="40" w:name="_Toc186230945"/>
      <w:bookmarkStart w:id="41" w:name="_Toc186230994"/>
      <w:bookmarkStart w:id="42" w:name="_Toc203660833"/>
      <w:bookmarkStart w:id="43" w:name="_Toc203669833"/>
      <w:bookmarkStart w:id="44" w:name="_Toc203671272"/>
      <w:bookmarkStart w:id="45" w:name="_Toc203684670"/>
      <w:bookmarkStart w:id="46" w:name="_Toc141713917"/>
      <w:bookmarkStart w:id="47" w:name="_Toc219874282"/>
      <w:bookmarkStart w:id="48" w:name="_Toc219875487"/>
      <w:bookmarkStart w:id="49" w:name="_Toc219880755"/>
      <w:bookmarkStart w:id="50" w:name="_Toc219880831"/>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7"/>
      <w:bookmarkEnd w:id="48"/>
      <w:bookmarkEnd w:id="49"/>
      <w:bookmarkEnd w:id="50"/>
    </w:p>
    <w:p w14:paraId="0CE87E7B" w14:textId="77777777" w:rsidR="00F623CD" w:rsidRPr="007969E9" w:rsidRDefault="00F623CD" w:rsidP="00843D8F">
      <w:pPr>
        <w:pStyle w:val="af8"/>
        <w:keepNext/>
        <w:numPr>
          <w:ilvl w:val="0"/>
          <w:numId w:val="9"/>
        </w:numPr>
        <w:spacing w:before="360" w:after="120" w:line="240" w:lineRule="auto"/>
        <w:contextualSpacing w:val="0"/>
        <w:outlineLvl w:val="2"/>
        <w:rPr>
          <w:rFonts w:ascii="Arial" w:hAnsi="Arial" w:cs="Arial"/>
          <w:bCs/>
          <w:vanish/>
          <w:sz w:val="28"/>
          <w:szCs w:val="28"/>
        </w:rPr>
      </w:pPr>
      <w:bookmarkStart w:id="51" w:name="_Toc157162763"/>
      <w:bookmarkStart w:id="52" w:name="_Toc157163578"/>
      <w:bookmarkStart w:id="53" w:name="_Toc157266729"/>
      <w:bookmarkStart w:id="54" w:name="_Toc157266908"/>
      <w:bookmarkStart w:id="55" w:name="_Toc172315219"/>
      <w:bookmarkStart w:id="56" w:name="_Toc172315253"/>
      <w:bookmarkStart w:id="57" w:name="_Toc172315646"/>
      <w:bookmarkStart w:id="58" w:name="_Toc172317709"/>
      <w:bookmarkStart w:id="59" w:name="_Toc186229616"/>
      <w:bookmarkStart w:id="60" w:name="_Toc186230946"/>
      <w:bookmarkStart w:id="61" w:name="_Toc186230995"/>
      <w:bookmarkStart w:id="62" w:name="_Toc203660834"/>
      <w:bookmarkStart w:id="63" w:name="_Toc203669834"/>
      <w:bookmarkStart w:id="64" w:name="_Toc203671273"/>
      <w:bookmarkStart w:id="65" w:name="_Toc203684671"/>
      <w:bookmarkStart w:id="66" w:name="_Toc219874283"/>
      <w:bookmarkStart w:id="67" w:name="_Toc219875488"/>
      <w:bookmarkStart w:id="68" w:name="_Toc219880756"/>
      <w:bookmarkStart w:id="69" w:name="_Toc219880832"/>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14:paraId="61521849" w14:textId="77777777" w:rsidR="00F623CD" w:rsidRPr="007969E9" w:rsidRDefault="00F623CD" w:rsidP="00843D8F">
      <w:pPr>
        <w:pStyle w:val="af8"/>
        <w:keepNext/>
        <w:numPr>
          <w:ilvl w:val="1"/>
          <w:numId w:val="9"/>
        </w:numPr>
        <w:spacing w:before="360" w:after="120" w:line="240" w:lineRule="auto"/>
        <w:contextualSpacing w:val="0"/>
        <w:outlineLvl w:val="2"/>
        <w:rPr>
          <w:rFonts w:ascii="Arial" w:hAnsi="Arial" w:cs="Arial"/>
          <w:bCs/>
          <w:vanish/>
          <w:sz w:val="28"/>
          <w:szCs w:val="28"/>
        </w:rPr>
      </w:pPr>
      <w:bookmarkStart w:id="70" w:name="_Toc157162764"/>
      <w:bookmarkStart w:id="71" w:name="_Toc157163579"/>
      <w:bookmarkStart w:id="72" w:name="_Toc157266730"/>
      <w:bookmarkStart w:id="73" w:name="_Toc157266909"/>
      <w:bookmarkStart w:id="74" w:name="_Toc172315220"/>
      <w:bookmarkStart w:id="75" w:name="_Toc172315254"/>
      <w:bookmarkStart w:id="76" w:name="_Toc172315647"/>
      <w:bookmarkStart w:id="77" w:name="_Toc172317710"/>
      <w:bookmarkStart w:id="78" w:name="_Toc186229617"/>
      <w:bookmarkStart w:id="79" w:name="_Toc186230947"/>
      <w:bookmarkStart w:id="80" w:name="_Toc186230996"/>
      <w:bookmarkStart w:id="81" w:name="_Toc203660835"/>
      <w:bookmarkStart w:id="82" w:name="_Toc203669835"/>
      <w:bookmarkStart w:id="83" w:name="_Toc203671274"/>
      <w:bookmarkStart w:id="84" w:name="_Toc203684672"/>
      <w:bookmarkStart w:id="85" w:name="_Toc219874284"/>
      <w:bookmarkStart w:id="86" w:name="_Toc219875489"/>
      <w:bookmarkStart w:id="87" w:name="_Toc219880757"/>
      <w:bookmarkStart w:id="88" w:name="_Toc219880833"/>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6901886B" w14:textId="77777777" w:rsidR="00F623CD" w:rsidRPr="007969E9" w:rsidRDefault="00F623CD" w:rsidP="00843D8F">
      <w:pPr>
        <w:pStyle w:val="af8"/>
        <w:keepNext/>
        <w:numPr>
          <w:ilvl w:val="1"/>
          <w:numId w:val="9"/>
        </w:numPr>
        <w:spacing w:before="360" w:after="120" w:line="240" w:lineRule="auto"/>
        <w:contextualSpacing w:val="0"/>
        <w:outlineLvl w:val="2"/>
        <w:rPr>
          <w:rFonts w:ascii="Arial" w:hAnsi="Arial" w:cs="Arial"/>
          <w:bCs/>
          <w:vanish/>
          <w:sz w:val="28"/>
          <w:szCs w:val="28"/>
        </w:rPr>
      </w:pPr>
      <w:bookmarkStart w:id="89" w:name="_Toc157162765"/>
      <w:bookmarkStart w:id="90" w:name="_Toc157163580"/>
      <w:bookmarkStart w:id="91" w:name="_Toc157266731"/>
      <w:bookmarkStart w:id="92" w:name="_Toc157266910"/>
      <w:bookmarkStart w:id="93" w:name="_Toc172315221"/>
      <w:bookmarkStart w:id="94" w:name="_Toc172315255"/>
      <w:bookmarkStart w:id="95" w:name="_Toc172315648"/>
      <w:bookmarkStart w:id="96" w:name="_Toc172317711"/>
      <w:bookmarkStart w:id="97" w:name="_Toc186229618"/>
      <w:bookmarkStart w:id="98" w:name="_Toc186230948"/>
      <w:bookmarkStart w:id="99" w:name="_Toc186230997"/>
      <w:bookmarkStart w:id="100" w:name="_Toc203660836"/>
      <w:bookmarkStart w:id="101" w:name="_Toc203669836"/>
      <w:bookmarkStart w:id="102" w:name="_Toc203671275"/>
      <w:bookmarkStart w:id="103" w:name="_Toc203684673"/>
      <w:bookmarkStart w:id="104" w:name="_Toc219874285"/>
      <w:bookmarkStart w:id="105" w:name="_Toc219875490"/>
      <w:bookmarkStart w:id="106" w:name="_Toc219880758"/>
      <w:bookmarkStart w:id="107" w:name="_Toc219880834"/>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14:paraId="55B6DB87" w14:textId="257A89B4" w:rsidR="002511EB" w:rsidRPr="007969E9" w:rsidRDefault="002511EB" w:rsidP="00843D8F">
      <w:pPr>
        <w:keepNext/>
        <w:numPr>
          <w:ilvl w:val="2"/>
          <w:numId w:val="9"/>
        </w:numPr>
        <w:spacing w:before="360" w:after="120" w:line="240" w:lineRule="auto"/>
        <w:ind w:left="504"/>
        <w:outlineLvl w:val="2"/>
        <w:rPr>
          <w:rFonts w:ascii="Arial" w:hAnsi="Arial" w:cs="Arial"/>
          <w:bCs/>
          <w:sz w:val="28"/>
          <w:szCs w:val="28"/>
        </w:rPr>
      </w:pPr>
      <w:bookmarkStart w:id="108" w:name="_Toc219880835"/>
      <w:r w:rsidRPr="007969E9">
        <w:rPr>
          <w:rFonts w:ascii="Arial" w:hAnsi="Arial" w:cs="Arial"/>
          <w:bCs/>
          <w:sz w:val="28"/>
          <w:szCs w:val="28"/>
        </w:rPr>
        <w:t>Activities and results related to output areas</w:t>
      </w:r>
      <w:bookmarkEnd w:id="46"/>
      <w:bookmarkEnd w:id="108"/>
    </w:p>
    <w:p w14:paraId="130540F1" w14:textId="5A66E870" w:rsidR="002C0CC1" w:rsidRPr="007969E9" w:rsidRDefault="002C0CC1" w:rsidP="002C0CC1">
      <w:pPr>
        <w:jc w:val="both"/>
        <w:rPr>
          <w:rFonts w:ascii="Arial" w:hAnsi="Arial" w:cs="Arial"/>
        </w:rPr>
      </w:pPr>
      <w:bookmarkStart w:id="109" w:name="_Hlk109889865"/>
      <w:r w:rsidRPr="007969E9">
        <w:rPr>
          <w:rFonts w:ascii="Arial" w:hAnsi="Arial" w:cs="Arial"/>
        </w:rPr>
        <w:t>The key stakeholders for th</w:t>
      </w:r>
      <w:r w:rsidR="00B12CC1">
        <w:rPr>
          <w:rFonts w:ascii="Arial" w:hAnsi="Arial" w:cs="Arial"/>
        </w:rPr>
        <w:t>e</w:t>
      </w:r>
      <w:r w:rsidRPr="007969E9">
        <w:rPr>
          <w:rFonts w:ascii="Arial" w:hAnsi="Arial" w:cs="Arial"/>
        </w:rPr>
        <w:t xml:space="preserve"> FS </w:t>
      </w:r>
      <w:r w:rsidR="00652E54">
        <w:rPr>
          <w:rFonts w:ascii="Arial" w:hAnsi="Arial" w:cs="Arial"/>
        </w:rPr>
        <w:t>2</w:t>
      </w:r>
      <w:r w:rsidR="00B12CC1">
        <w:rPr>
          <w:rFonts w:ascii="Arial" w:hAnsi="Arial" w:cs="Arial"/>
        </w:rPr>
        <w:t xml:space="preserve"> and 9 are the Ministr</w:t>
      </w:r>
      <w:r w:rsidR="009B2778">
        <w:rPr>
          <w:rFonts w:ascii="Arial" w:hAnsi="Arial" w:cs="Arial"/>
        </w:rPr>
        <w:t>y of Economy and Commerce, the</w:t>
      </w:r>
      <w:r w:rsidR="008834C2" w:rsidRPr="007969E9">
        <w:rPr>
          <w:rFonts w:ascii="Arial" w:hAnsi="Arial" w:cs="Arial"/>
        </w:rPr>
        <w:t xml:space="preserve"> Ministry of Agriculture</w:t>
      </w:r>
      <w:r w:rsidR="00DC5081">
        <w:rPr>
          <w:rFonts w:ascii="Arial" w:hAnsi="Arial" w:cs="Arial"/>
        </w:rPr>
        <w:t xml:space="preserve"> and the Ministry of Finance</w:t>
      </w:r>
      <w:r w:rsidR="008834C2">
        <w:rPr>
          <w:rFonts w:ascii="Arial" w:hAnsi="Arial" w:cs="Arial"/>
        </w:rPr>
        <w:t>.</w:t>
      </w:r>
    </w:p>
    <w:p w14:paraId="7D339CB0" w14:textId="0B965134" w:rsidR="008F45DE" w:rsidRPr="008F45DE" w:rsidRDefault="008F45DE" w:rsidP="008F45DE">
      <w:pPr>
        <w:contextualSpacing/>
        <w:jc w:val="both"/>
        <w:rPr>
          <w:rFonts w:ascii="Arial" w:hAnsi="Arial" w:cs="Arial"/>
        </w:rPr>
      </w:pPr>
      <w:r w:rsidRPr="008F45DE">
        <w:rPr>
          <w:rFonts w:ascii="Arial" w:hAnsi="Arial" w:cs="Arial"/>
        </w:rPr>
        <w:t>As part of the implementation of Financial Solution 2, an analysis of state subsidies</w:t>
      </w:r>
      <w:r w:rsidR="006724A5">
        <w:rPr>
          <w:rFonts w:ascii="Arial" w:hAnsi="Arial" w:cs="Arial"/>
        </w:rPr>
        <w:t xml:space="preserve"> undertaken in </w:t>
      </w:r>
      <w:r w:rsidR="00A5073A">
        <w:rPr>
          <w:rFonts w:ascii="Arial" w:hAnsi="Arial" w:cs="Arial"/>
        </w:rPr>
        <w:t xml:space="preserve">2019 </w:t>
      </w:r>
      <w:r w:rsidR="00A5073A" w:rsidRPr="008F45DE">
        <w:rPr>
          <w:rFonts w:ascii="Arial" w:hAnsi="Arial" w:cs="Arial"/>
        </w:rPr>
        <w:t>revealed</w:t>
      </w:r>
      <w:r w:rsidRPr="008F45DE">
        <w:rPr>
          <w:rFonts w:ascii="Arial" w:hAnsi="Arial" w:cs="Arial"/>
        </w:rPr>
        <w:t xml:space="preserve"> approximately 30 subsidies that have harmful effects on biodiversity and the environment. Moreover, it was found that there is currently no mechanism in Kyrgyzstan for conducting either ex-ante (prior) or ex-post (after) assessments of the environmental and biodiversity impacts of subsidies. Additionally, there is no established practice for evaluating the effectiveness of subsidies once implemented.</w:t>
      </w:r>
    </w:p>
    <w:p w14:paraId="400EF86F" w14:textId="77777777" w:rsidR="008F45DE" w:rsidRPr="008F45DE" w:rsidRDefault="008F45DE" w:rsidP="008F45DE">
      <w:pPr>
        <w:contextualSpacing/>
        <w:jc w:val="both"/>
        <w:rPr>
          <w:rFonts w:ascii="Arial" w:hAnsi="Arial" w:cs="Arial"/>
        </w:rPr>
      </w:pPr>
    </w:p>
    <w:p w14:paraId="30F46A56" w14:textId="5B9B4CC8" w:rsidR="009C68C1" w:rsidRPr="009C68C1" w:rsidRDefault="008F45DE" w:rsidP="008F45DE">
      <w:pPr>
        <w:contextualSpacing/>
        <w:jc w:val="both"/>
        <w:rPr>
          <w:rFonts w:ascii="Arial" w:hAnsi="Arial" w:cs="Arial"/>
        </w:rPr>
      </w:pPr>
      <w:r w:rsidRPr="008F45DE">
        <w:rPr>
          <w:rFonts w:ascii="Arial" w:hAnsi="Arial" w:cs="Arial"/>
        </w:rPr>
        <w:t>To address these gaps, a comprehensive scope of work on harmful subsidies—comprising three key components</w:t>
      </w:r>
      <w:r w:rsidR="007530C8">
        <w:rPr>
          <w:rFonts w:ascii="Arial" w:hAnsi="Arial" w:cs="Arial"/>
        </w:rPr>
        <w:t xml:space="preserve"> indicated below</w:t>
      </w:r>
      <w:r w:rsidR="00A5073A">
        <w:rPr>
          <w:rFonts w:ascii="Arial" w:hAnsi="Arial" w:cs="Arial"/>
        </w:rPr>
        <w:t xml:space="preserve"> was planned to be</w:t>
      </w:r>
      <w:r w:rsidRPr="008F45DE">
        <w:rPr>
          <w:rFonts w:ascii="Arial" w:hAnsi="Arial" w:cs="Arial"/>
        </w:rPr>
        <w:t xml:space="preserve"> initiated in </w:t>
      </w:r>
      <w:r w:rsidR="00A5073A">
        <w:rPr>
          <w:rFonts w:ascii="Arial" w:hAnsi="Arial" w:cs="Arial"/>
        </w:rPr>
        <w:t>2025</w:t>
      </w:r>
      <w:r w:rsidRPr="008F45DE">
        <w:rPr>
          <w:rFonts w:ascii="Arial" w:hAnsi="Arial" w:cs="Arial"/>
        </w:rPr>
        <w:t xml:space="preserve"> under the framework of Financial Solutions 2 and 9</w:t>
      </w:r>
      <w:r w:rsidR="00A5073A">
        <w:rPr>
          <w:rFonts w:ascii="Arial" w:hAnsi="Arial" w:cs="Arial"/>
        </w:rPr>
        <w:t xml:space="preserve">. However, </w:t>
      </w:r>
      <w:r w:rsidR="007F3984">
        <w:rPr>
          <w:rFonts w:ascii="Arial" w:hAnsi="Arial" w:cs="Arial"/>
        </w:rPr>
        <w:t>per the request of the national partner, th</w:t>
      </w:r>
      <w:r w:rsidR="00FD2B0C">
        <w:rPr>
          <w:rFonts w:ascii="Arial" w:hAnsi="Arial" w:cs="Arial"/>
        </w:rPr>
        <w:t>is work was postponed to 2026</w:t>
      </w:r>
      <w:r w:rsidR="004C4468">
        <w:rPr>
          <w:rFonts w:ascii="Arial" w:hAnsi="Arial" w:cs="Arial"/>
        </w:rPr>
        <w:t xml:space="preserve">. The work will be </w:t>
      </w:r>
      <w:r w:rsidR="007C1FA1">
        <w:rPr>
          <w:rFonts w:ascii="Arial" w:hAnsi="Arial" w:cs="Arial"/>
        </w:rPr>
        <w:t xml:space="preserve">preceded by updating the </w:t>
      </w:r>
      <w:r w:rsidR="00AF66A6">
        <w:rPr>
          <w:rFonts w:ascii="Arial" w:hAnsi="Arial" w:cs="Arial"/>
        </w:rPr>
        <w:t xml:space="preserve">analysis of the state </w:t>
      </w:r>
      <w:r w:rsidR="005E034D">
        <w:rPr>
          <w:rFonts w:ascii="Arial" w:hAnsi="Arial" w:cs="Arial"/>
        </w:rPr>
        <w:t>subsidies</w:t>
      </w:r>
      <w:r w:rsidR="00DA781A">
        <w:rPr>
          <w:rFonts w:ascii="Arial" w:hAnsi="Arial" w:cs="Arial"/>
        </w:rPr>
        <w:t>.</w:t>
      </w:r>
    </w:p>
    <w:p w14:paraId="6C33269A" w14:textId="09C9E3ED" w:rsidR="009C68C1" w:rsidRPr="009C68C1" w:rsidRDefault="009C68C1" w:rsidP="009C68C1">
      <w:pPr>
        <w:pStyle w:val="af8"/>
        <w:numPr>
          <w:ilvl w:val="1"/>
          <w:numId w:val="8"/>
        </w:numPr>
        <w:jc w:val="both"/>
        <w:rPr>
          <w:rFonts w:ascii="Arial" w:hAnsi="Arial" w:cs="Arial"/>
          <w:b/>
          <w:bCs/>
        </w:rPr>
      </w:pPr>
      <w:r w:rsidRPr="009C68C1">
        <w:rPr>
          <w:rFonts w:ascii="Arial" w:hAnsi="Arial" w:cs="Arial"/>
          <w:b/>
          <w:bCs/>
        </w:rPr>
        <w:t xml:space="preserve">Developing and Piloting </w:t>
      </w:r>
      <w:r w:rsidR="009352A7" w:rsidRPr="009C68C1">
        <w:rPr>
          <w:rFonts w:ascii="Arial" w:hAnsi="Arial" w:cs="Arial"/>
          <w:b/>
          <w:bCs/>
        </w:rPr>
        <w:t>Assessment</w:t>
      </w:r>
      <w:r w:rsidRPr="009C68C1">
        <w:rPr>
          <w:rFonts w:ascii="Arial" w:hAnsi="Arial" w:cs="Arial"/>
          <w:b/>
          <w:bCs/>
        </w:rPr>
        <w:t xml:space="preserve"> Methodology</w:t>
      </w:r>
    </w:p>
    <w:p w14:paraId="619D7CF6" w14:textId="3CAB937A" w:rsidR="00E05BF1" w:rsidRPr="00E05BF1" w:rsidRDefault="00E05BF1" w:rsidP="00E05BF1">
      <w:pPr>
        <w:numPr>
          <w:ilvl w:val="0"/>
          <w:numId w:val="14"/>
        </w:numPr>
        <w:contextualSpacing/>
        <w:jc w:val="both"/>
        <w:rPr>
          <w:rFonts w:ascii="Arial" w:hAnsi="Arial" w:cs="Arial"/>
        </w:rPr>
      </w:pPr>
      <w:r w:rsidRPr="00E05BF1">
        <w:rPr>
          <w:rFonts w:ascii="Arial" w:hAnsi="Arial" w:cs="Arial"/>
        </w:rPr>
        <w:t>A robust methodology will be developed to assess both the environmental impact and the effectiveness of state subsidies.</w:t>
      </w:r>
    </w:p>
    <w:p w14:paraId="4F4EE293" w14:textId="48281642" w:rsidR="00E05BF1" w:rsidRPr="00E05BF1" w:rsidRDefault="00E05BF1" w:rsidP="00E05BF1">
      <w:pPr>
        <w:numPr>
          <w:ilvl w:val="0"/>
          <w:numId w:val="14"/>
        </w:numPr>
        <w:contextualSpacing/>
        <w:jc w:val="both"/>
        <w:rPr>
          <w:rFonts w:ascii="Arial" w:hAnsi="Arial" w:cs="Arial"/>
        </w:rPr>
      </w:pPr>
      <w:r w:rsidRPr="00E05BF1">
        <w:rPr>
          <w:rFonts w:ascii="Arial" w:hAnsi="Arial" w:cs="Arial"/>
        </w:rPr>
        <w:t>The methodology will be piloted on three selected subsidies to refine the approach and demonstrate its practical applicability.</w:t>
      </w:r>
    </w:p>
    <w:p w14:paraId="70FC1659" w14:textId="2056FBD8" w:rsidR="00E05BF1" w:rsidRPr="00753B49" w:rsidRDefault="00E05BF1" w:rsidP="00E05BF1">
      <w:pPr>
        <w:numPr>
          <w:ilvl w:val="0"/>
          <w:numId w:val="14"/>
        </w:numPr>
        <w:contextualSpacing/>
        <w:jc w:val="both"/>
        <w:rPr>
          <w:rFonts w:ascii="Arial" w:hAnsi="Arial" w:cs="Arial"/>
        </w:rPr>
      </w:pPr>
      <w:r w:rsidRPr="00E05BF1">
        <w:rPr>
          <w:rFonts w:ascii="Arial" w:hAnsi="Arial" w:cs="Arial"/>
        </w:rPr>
        <w:t>BIOFIN will advocate for the institutionalization of the methodology by promoting its integration into Kyrgyzstan’s legislative and regulatory framework</w:t>
      </w:r>
    </w:p>
    <w:p w14:paraId="35862F2B" w14:textId="663680AF" w:rsidR="00E16936" w:rsidRPr="00E16936" w:rsidRDefault="00E16936" w:rsidP="00E16936">
      <w:pPr>
        <w:pStyle w:val="af8"/>
        <w:numPr>
          <w:ilvl w:val="1"/>
          <w:numId w:val="8"/>
        </w:numPr>
        <w:jc w:val="both"/>
        <w:rPr>
          <w:rFonts w:ascii="Arial" w:hAnsi="Arial" w:cs="Arial"/>
          <w:b/>
          <w:bCs/>
        </w:rPr>
      </w:pPr>
      <w:r w:rsidRPr="00E16936">
        <w:rPr>
          <w:rFonts w:ascii="Arial" w:hAnsi="Arial" w:cs="Arial"/>
          <w:b/>
          <w:bCs/>
        </w:rPr>
        <w:t xml:space="preserve">Conducting a Nationwide Survey </w:t>
      </w:r>
      <w:r w:rsidR="005E27BE" w:rsidRPr="00E16936">
        <w:rPr>
          <w:rFonts w:ascii="Arial" w:hAnsi="Arial" w:cs="Arial"/>
          <w:b/>
          <w:bCs/>
        </w:rPr>
        <w:t>of</w:t>
      </w:r>
      <w:r w:rsidRPr="00E16936">
        <w:rPr>
          <w:rFonts w:ascii="Arial" w:hAnsi="Arial" w:cs="Arial"/>
          <w:b/>
          <w:bCs/>
        </w:rPr>
        <w:t xml:space="preserve"> Harmful Subsidies</w:t>
      </w:r>
      <w:r>
        <w:rPr>
          <w:rFonts w:ascii="Arial" w:hAnsi="Arial" w:cs="Arial"/>
          <w:b/>
          <w:bCs/>
        </w:rPr>
        <w:t xml:space="preserve"> </w:t>
      </w:r>
      <w:r w:rsidR="002C0CC1" w:rsidRPr="007969E9">
        <w:rPr>
          <w:rFonts w:ascii="Arial" w:hAnsi="Arial" w:cs="Arial"/>
          <w:b/>
          <w:bCs/>
        </w:rPr>
        <w:t>among the targeted group.</w:t>
      </w:r>
      <w:r w:rsidR="002C0CC1" w:rsidRPr="00E16936">
        <w:rPr>
          <w:rFonts w:ascii="Arial" w:hAnsi="Arial" w:cs="Arial"/>
          <w:b/>
          <w:bCs/>
        </w:rPr>
        <w:t xml:space="preserve"> </w:t>
      </w:r>
    </w:p>
    <w:p w14:paraId="1312507B" w14:textId="58B6319A" w:rsidR="002C0CC1" w:rsidRPr="007969E9" w:rsidRDefault="002C0CC1" w:rsidP="00660091">
      <w:pPr>
        <w:contextualSpacing/>
        <w:jc w:val="both"/>
        <w:rPr>
          <w:rFonts w:ascii="Arial" w:hAnsi="Arial" w:cs="Arial"/>
        </w:rPr>
      </w:pPr>
      <w:r w:rsidRPr="007969E9">
        <w:rPr>
          <w:rFonts w:ascii="Arial" w:hAnsi="Arial" w:cs="Arial"/>
        </w:rPr>
        <w:t xml:space="preserve">Harmful subsidies have pervasive effects on society, influencing consumer behavior, economic dynamics, and environmental sustainability. Understanding public perceptions, awareness levels, and attitudes towards harmful subsidies is crucial for informing </w:t>
      </w:r>
      <w:r w:rsidR="005355E8">
        <w:rPr>
          <w:rFonts w:ascii="Arial" w:hAnsi="Arial" w:cs="Arial"/>
        </w:rPr>
        <w:t xml:space="preserve">evidence-based </w:t>
      </w:r>
      <w:r w:rsidRPr="007969E9">
        <w:rPr>
          <w:rFonts w:ascii="Arial" w:hAnsi="Arial" w:cs="Arial"/>
        </w:rPr>
        <w:t xml:space="preserve">policy decisions, fostering public engagement, and promoting sustainable development. </w:t>
      </w:r>
      <w:r w:rsidR="00265068" w:rsidRPr="00265068">
        <w:rPr>
          <w:rFonts w:ascii="Arial" w:hAnsi="Arial" w:cs="Arial"/>
        </w:rPr>
        <w:t xml:space="preserve">To ensure broad geographic representation, the survey will target a minimum of 30 </w:t>
      </w:r>
      <w:r w:rsidR="00265068" w:rsidRPr="00265068">
        <w:rPr>
          <w:rFonts w:ascii="Arial" w:hAnsi="Arial" w:cs="Arial"/>
        </w:rPr>
        <w:lastRenderedPageBreak/>
        <w:t>respondents from each of the seven provinces of Kyrgyzstan</w:t>
      </w:r>
      <w:r w:rsidR="00265068">
        <w:rPr>
          <w:rFonts w:ascii="Arial" w:hAnsi="Arial" w:cs="Arial"/>
        </w:rPr>
        <w:t>.</w:t>
      </w:r>
      <w:r w:rsidRPr="007969E9">
        <w:rPr>
          <w:rFonts w:ascii="Arial" w:hAnsi="Arial" w:cs="Arial"/>
        </w:rPr>
        <w:t xml:space="preserve"> Therefore, the primary objectives of the research/survey will be:</w:t>
      </w:r>
    </w:p>
    <w:p w14:paraId="40A62798" w14:textId="7C73978D" w:rsidR="002C0CC1" w:rsidRPr="007969E9" w:rsidRDefault="00D52322" w:rsidP="00843D8F">
      <w:pPr>
        <w:numPr>
          <w:ilvl w:val="0"/>
          <w:numId w:val="14"/>
        </w:numPr>
        <w:contextualSpacing/>
        <w:jc w:val="both"/>
        <w:rPr>
          <w:rFonts w:ascii="Arial" w:hAnsi="Arial" w:cs="Arial"/>
        </w:rPr>
      </w:pPr>
      <w:r>
        <w:rPr>
          <w:rFonts w:ascii="Arial" w:hAnsi="Arial" w:cs="Arial"/>
        </w:rPr>
        <w:t>A</w:t>
      </w:r>
      <w:r w:rsidR="002C0CC1" w:rsidRPr="007969E9">
        <w:rPr>
          <w:rFonts w:ascii="Arial" w:hAnsi="Arial" w:cs="Arial"/>
        </w:rPr>
        <w:t>ssess public awareness and understanding of harmful subsidies across targeted sectors, particular in the agriculture.</w:t>
      </w:r>
    </w:p>
    <w:p w14:paraId="4149D2CD" w14:textId="0D51AAC5" w:rsidR="002C0CC1" w:rsidRPr="007969E9" w:rsidRDefault="00D52322" w:rsidP="00843D8F">
      <w:pPr>
        <w:numPr>
          <w:ilvl w:val="0"/>
          <w:numId w:val="14"/>
        </w:numPr>
        <w:contextualSpacing/>
        <w:jc w:val="both"/>
        <w:rPr>
          <w:rFonts w:ascii="Arial" w:hAnsi="Arial" w:cs="Arial"/>
        </w:rPr>
      </w:pPr>
      <w:r>
        <w:rPr>
          <w:rFonts w:ascii="Arial" w:hAnsi="Arial" w:cs="Arial"/>
        </w:rPr>
        <w:t>I</w:t>
      </w:r>
      <w:r w:rsidR="002C0CC1" w:rsidRPr="007969E9">
        <w:rPr>
          <w:rFonts w:ascii="Arial" w:hAnsi="Arial" w:cs="Arial"/>
        </w:rPr>
        <w:t xml:space="preserve">dentify public perceptions </w:t>
      </w:r>
      <w:r>
        <w:rPr>
          <w:rFonts w:ascii="Arial" w:hAnsi="Arial" w:cs="Arial"/>
        </w:rPr>
        <w:t>of</w:t>
      </w:r>
      <w:r w:rsidR="002C0CC1" w:rsidRPr="007969E9">
        <w:rPr>
          <w:rFonts w:ascii="Arial" w:hAnsi="Arial" w:cs="Arial"/>
        </w:rPr>
        <w:t xml:space="preserve"> the impact</w:t>
      </w:r>
      <w:r w:rsidR="001F438F">
        <w:rPr>
          <w:rFonts w:ascii="Arial" w:hAnsi="Arial" w:cs="Arial"/>
        </w:rPr>
        <w:t>s</w:t>
      </w:r>
      <w:r w:rsidR="002C0CC1" w:rsidRPr="007969E9">
        <w:rPr>
          <w:rFonts w:ascii="Arial" w:hAnsi="Arial" w:cs="Arial"/>
        </w:rPr>
        <w:t xml:space="preserve"> of harmful subsidies on individuals, communities, and the environment.</w:t>
      </w:r>
    </w:p>
    <w:p w14:paraId="4828E17B" w14:textId="0BE6627C" w:rsidR="002C0CC1" w:rsidRPr="007969E9" w:rsidRDefault="00322B88" w:rsidP="00843D8F">
      <w:pPr>
        <w:numPr>
          <w:ilvl w:val="0"/>
          <w:numId w:val="14"/>
        </w:numPr>
        <w:contextualSpacing/>
        <w:jc w:val="both"/>
        <w:rPr>
          <w:rFonts w:ascii="Arial" w:hAnsi="Arial" w:cs="Arial"/>
        </w:rPr>
      </w:pPr>
      <w:r>
        <w:rPr>
          <w:rFonts w:ascii="Arial" w:hAnsi="Arial" w:cs="Arial"/>
        </w:rPr>
        <w:t>E</w:t>
      </w:r>
      <w:r w:rsidR="002C0CC1" w:rsidRPr="007969E9">
        <w:rPr>
          <w:rFonts w:ascii="Arial" w:hAnsi="Arial" w:cs="Arial"/>
        </w:rPr>
        <w:t xml:space="preserve">xplore public opinion and priorities </w:t>
      </w:r>
      <w:r>
        <w:rPr>
          <w:rFonts w:ascii="Arial" w:hAnsi="Arial" w:cs="Arial"/>
        </w:rPr>
        <w:t>regarding the</w:t>
      </w:r>
      <w:r w:rsidR="002C0CC1" w:rsidRPr="007969E9">
        <w:rPr>
          <w:rFonts w:ascii="Arial" w:hAnsi="Arial" w:cs="Arial"/>
        </w:rPr>
        <w:t xml:space="preserve"> reform or phasing </w:t>
      </w:r>
      <w:r w:rsidR="001F438F" w:rsidRPr="007969E9">
        <w:rPr>
          <w:rFonts w:ascii="Arial" w:hAnsi="Arial" w:cs="Arial"/>
        </w:rPr>
        <w:t>out</w:t>
      </w:r>
      <w:r w:rsidR="002C0CC1" w:rsidRPr="007969E9">
        <w:rPr>
          <w:rFonts w:ascii="Arial" w:hAnsi="Arial" w:cs="Arial"/>
        </w:rPr>
        <w:t xml:space="preserve"> </w:t>
      </w:r>
      <w:r w:rsidR="00F64E2F">
        <w:rPr>
          <w:rFonts w:ascii="Arial" w:hAnsi="Arial" w:cs="Arial"/>
        </w:rPr>
        <w:t xml:space="preserve">of </w:t>
      </w:r>
      <w:r w:rsidR="002C0CC1" w:rsidRPr="007969E9">
        <w:rPr>
          <w:rFonts w:ascii="Arial" w:hAnsi="Arial" w:cs="Arial"/>
        </w:rPr>
        <w:t>harmful subsidies.</w:t>
      </w:r>
    </w:p>
    <w:p w14:paraId="635F11CF" w14:textId="6D0519F4" w:rsidR="002C0CC1" w:rsidRPr="007969E9" w:rsidRDefault="00F64E2F" w:rsidP="00843D8F">
      <w:pPr>
        <w:numPr>
          <w:ilvl w:val="0"/>
          <w:numId w:val="14"/>
        </w:numPr>
        <w:contextualSpacing/>
        <w:jc w:val="both"/>
        <w:rPr>
          <w:rFonts w:ascii="Arial" w:hAnsi="Arial" w:cs="Arial"/>
        </w:rPr>
      </w:pPr>
      <w:r>
        <w:rPr>
          <w:rFonts w:ascii="Arial" w:hAnsi="Arial" w:cs="Arial"/>
        </w:rPr>
        <w:t>Based on survey findings</w:t>
      </w:r>
      <w:r w:rsidR="00605109">
        <w:rPr>
          <w:rFonts w:ascii="Arial" w:hAnsi="Arial" w:cs="Arial"/>
        </w:rPr>
        <w:t>, provide</w:t>
      </w:r>
      <w:r w:rsidR="002C0CC1" w:rsidRPr="007969E9">
        <w:rPr>
          <w:rFonts w:ascii="Arial" w:hAnsi="Arial" w:cs="Arial"/>
        </w:rPr>
        <w:t xml:space="preserve"> </w:t>
      </w:r>
      <w:r>
        <w:rPr>
          <w:rFonts w:ascii="Arial" w:hAnsi="Arial" w:cs="Arial"/>
        </w:rPr>
        <w:t xml:space="preserve">actionable </w:t>
      </w:r>
      <w:r w:rsidR="002C0CC1" w:rsidRPr="007969E9">
        <w:rPr>
          <w:rFonts w:ascii="Arial" w:hAnsi="Arial" w:cs="Arial"/>
        </w:rPr>
        <w:t xml:space="preserve">recommendations for policymakers, civil society organizations, and other stakeholders on strategies to enhance public awareness and engagement </w:t>
      </w:r>
      <w:r w:rsidR="005B05BB">
        <w:rPr>
          <w:rFonts w:ascii="Arial" w:hAnsi="Arial" w:cs="Arial"/>
        </w:rPr>
        <w:t xml:space="preserve">in </w:t>
      </w:r>
      <w:r w:rsidR="005B05BB" w:rsidRPr="007969E9">
        <w:rPr>
          <w:rFonts w:ascii="Arial" w:hAnsi="Arial" w:cs="Arial"/>
        </w:rPr>
        <w:t>subsid</w:t>
      </w:r>
      <w:r w:rsidR="005B05BB">
        <w:rPr>
          <w:rFonts w:ascii="Arial" w:hAnsi="Arial" w:cs="Arial"/>
        </w:rPr>
        <w:t>y reform efforts</w:t>
      </w:r>
      <w:r w:rsidR="002C0CC1" w:rsidRPr="007969E9">
        <w:rPr>
          <w:rFonts w:ascii="Arial" w:hAnsi="Arial" w:cs="Arial"/>
        </w:rPr>
        <w:t xml:space="preserve">. </w:t>
      </w:r>
    </w:p>
    <w:p w14:paraId="62C15DA5" w14:textId="6C450988" w:rsidR="00ED2659" w:rsidRPr="00ED2659" w:rsidRDefault="00626193" w:rsidP="00ED2659">
      <w:pPr>
        <w:pStyle w:val="af8"/>
        <w:numPr>
          <w:ilvl w:val="1"/>
          <w:numId w:val="8"/>
        </w:numPr>
        <w:jc w:val="both"/>
        <w:rPr>
          <w:rFonts w:ascii="Arial" w:hAnsi="Arial" w:cs="Arial"/>
          <w:b/>
          <w:bCs/>
        </w:rPr>
      </w:pPr>
      <w:r w:rsidRPr="00626193">
        <w:rPr>
          <w:rFonts w:ascii="Arial" w:hAnsi="Arial" w:cs="Arial"/>
          <w:b/>
          <w:bCs/>
        </w:rPr>
        <w:t>Communication Campaign to Catalyze Subsidy Reform</w:t>
      </w:r>
    </w:p>
    <w:p w14:paraId="1E7EBCAB" w14:textId="09580C96" w:rsidR="00626193" w:rsidRDefault="00183853" w:rsidP="00626193">
      <w:pPr>
        <w:contextualSpacing/>
        <w:jc w:val="both"/>
        <w:rPr>
          <w:rFonts w:ascii="Arial" w:hAnsi="Arial" w:cs="Arial"/>
        </w:rPr>
      </w:pPr>
      <w:r w:rsidRPr="00183853">
        <w:rPr>
          <w:rFonts w:ascii="Arial" w:hAnsi="Arial" w:cs="Arial"/>
        </w:rPr>
        <w:t>A communication campaign will be launched to raise awareness about the impacts of harmful subsidies and mobilize collective action toward reform. This campaign will leverage insights from the research/survey on harmful subsidies to tailor messages and strategies for maximum impact.</w:t>
      </w:r>
    </w:p>
    <w:p w14:paraId="513B2224" w14:textId="7F792F76" w:rsidR="002C0CC1" w:rsidRPr="007969E9" w:rsidRDefault="002C0CC1" w:rsidP="00626193">
      <w:pPr>
        <w:contextualSpacing/>
        <w:jc w:val="both"/>
        <w:rPr>
          <w:rFonts w:ascii="Arial" w:hAnsi="Arial" w:cs="Arial"/>
        </w:rPr>
      </w:pPr>
      <w:r w:rsidRPr="007969E9">
        <w:rPr>
          <w:rFonts w:ascii="Arial" w:hAnsi="Arial" w:cs="Arial"/>
        </w:rPr>
        <w:t>The campaign objectives will be:</w:t>
      </w:r>
    </w:p>
    <w:p w14:paraId="6499A727" w14:textId="77777777" w:rsidR="002C0CC1" w:rsidRPr="007969E9" w:rsidRDefault="002C0CC1" w:rsidP="00843D8F">
      <w:pPr>
        <w:numPr>
          <w:ilvl w:val="0"/>
          <w:numId w:val="14"/>
        </w:numPr>
        <w:contextualSpacing/>
        <w:jc w:val="both"/>
        <w:rPr>
          <w:rFonts w:ascii="Arial" w:hAnsi="Arial" w:cs="Arial"/>
        </w:rPr>
      </w:pPr>
      <w:r w:rsidRPr="007969E9">
        <w:rPr>
          <w:rFonts w:ascii="Arial" w:hAnsi="Arial" w:cs="Arial"/>
        </w:rPr>
        <w:t>To increase understanding among the public about the concept, impacts, and implications of harmful subsidies across various sectors.</w:t>
      </w:r>
    </w:p>
    <w:p w14:paraId="75AE6878" w14:textId="77777777" w:rsidR="002C0CC1" w:rsidRPr="007969E9" w:rsidRDefault="002C0CC1" w:rsidP="00843D8F">
      <w:pPr>
        <w:numPr>
          <w:ilvl w:val="0"/>
          <w:numId w:val="14"/>
        </w:numPr>
        <w:contextualSpacing/>
        <w:jc w:val="both"/>
        <w:rPr>
          <w:rFonts w:ascii="Arial" w:hAnsi="Arial" w:cs="Arial"/>
        </w:rPr>
      </w:pPr>
      <w:r w:rsidRPr="007969E9">
        <w:rPr>
          <w:rFonts w:ascii="Arial" w:hAnsi="Arial" w:cs="Arial"/>
        </w:rPr>
        <w:t>To engage policymakers, civil society organizations, businesses, and academia in discussions about the need for subsidy reform and alternative policy approaches.</w:t>
      </w:r>
    </w:p>
    <w:p w14:paraId="3EEAB39D" w14:textId="77777777" w:rsidR="002C0CC1" w:rsidRPr="007969E9" w:rsidRDefault="002C0CC1" w:rsidP="00843D8F">
      <w:pPr>
        <w:numPr>
          <w:ilvl w:val="0"/>
          <w:numId w:val="14"/>
        </w:numPr>
        <w:contextualSpacing/>
        <w:jc w:val="both"/>
        <w:rPr>
          <w:rFonts w:ascii="Arial" w:hAnsi="Arial" w:cs="Arial"/>
        </w:rPr>
      </w:pPr>
      <w:r w:rsidRPr="007969E9">
        <w:rPr>
          <w:rFonts w:ascii="Arial" w:hAnsi="Arial" w:cs="Arial"/>
        </w:rPr>
        <w:t>To advocate for evidence-based policy reforms aimed at phasing out or redesigning harmful subsidies to promote economic efficiency, social equity, and environmental conservation.</w:t>
      </w:r>
    </w:p>
    <w:p w14:paraId="1A2AE495" w14:textId="77777777" w:rsidR="00F75F45" w:rsidRDefault="00F75F45" w:rsidP="00F75F45">
      <w:pPr>
        <w:contextualSpacing/>
        <w:jc w:val="both"/>
        <w:rPr>
          <w:rFonts w:ascii="Arial" w:hAnsi="Arial" w:cs="Arial"/>
        </w:rPr>
      </w:pPr>
    </w:p>
    <w:p w14:paraId="20BB019D" w14:textId="0D56654A" w:rsidR="00F75F45" w:rsidRPr="00F75F45" w:rsidRDefault="00D66E42" w:rsidP="00F75F45">
      <w:pPr>
        <w:contextualSpacing/>
        <w:jc w:val="both"/>
        <w:rPr>
          <w:rFonts w:ascii="Arial" w:hAnsi="Arial" w:cs="Arial"/>
          <w:b/>
          <w:bCs/>
        </w:rPr>
      </w:pPr>
      <w:r w:rsidRPr="00F75F45">
        <w:rPr>
          <w:b/>
          <w:bCs/>
        </w:rPr>
        <w:t>Building</w:t>
      </w:r>
      <w:r w:rsidR="00F75F45" w:rsidRPr="00F75F45">
        <w:rPr>
          <w:b/>
          <w:bCs/>
        </w:rPr>
        <w:t xml:space="preserve"> Political Support for Subsidy Reform</w:t>
      </w:r>
    </w:p>
    <w:p w14:paraId="40A52727" w14:textId="40A2CAF9" w:rsidR="002C0CC1" w:rsidRDefault="002C3A78" w:rsidP="00D44B8E">
      <w:pPr>
        <w:jc w:val="both"/>
        <w:rPr>
          <w:rFonts w:ascii="Arial" w:hAnsi="Arial" w:cs="Arial"/>
        </w:rPr>
      </w:pPr>
      <w:r>
        <w:rPr>
          <w:rFonts w:ascii="Arial" w:hAnsi="Arial" w:cs="Arial"/>
        </w:rPr>
        <w:t>The work in the previous phase</w:t>
      </w:r>
      <w:r w:rsidR="002C0CC1" w:rsidRPr="007969E9">
        <w:rPr>
          <w:rFonts w:ascii="Arial" w:hAnsi="Arial" w:cs="Arial"/>
        </w:rPr>
        <w:t xml:space="preserve"> has shown the importance of government support in </w:t>
      </w:r>
      <w:r>
        <w:rPr>
          <w:rFonts w:ascii="Arial" w:hAnsi="Arial" w:cs="Arial"/>
        </w:rPr>
        <w:t xml:space="preserve">advancing </w:t>
      </w:r>
      <w:r w:rsidR="002C0CC1" w:rsidRPr="007969E9">
        <w:rPr>
          <w:rFonts w:ascii="Arial" w:hAnsi="Arial" w:cs="Arial"/>
        </w:rPr>
        <w:t xml:space="preserve">the agenda of harmful subsidies. Political support is essential </w:t>
      </w:r>
      <w:r w:rsidR="004D16A6">
        <w:rPr>
          <w:rFonts w:ascii="Arial" w:hAnsi="Arial" w:cs="Arial"/>
        </w:rPr>
        <w:t xml:space="preserve">for successful reform </w:t>
      </w:r>
      <w:r w:rsidR="002C0CC1" w:rsidRPr="007969E9">
        <w:rPr>
          <w:rFonts w:ascii="Arial" w:hAnsi="Arial" w:cs="Arial"/>
        </w:rPr>
        <w:t xml:space="preserve">as it provides the necessary legitimacy, authority, and </w:t>
      </w:r>
      <w:r w:rsidR="004D16A6">
        <w:rPr>
          <w:rFonts w:ascii="Arial" w:hAnsi="Arial" w:cs="Arial"/>
        </w:rPr>
        <w:t xml:space="preserve">institutional </w:t>
      </w:r>
      <w:r w:rsidR="002C0CC1" w:rsidRPr="007969E9">
        <w:rPr>
          <w:rFonts w:ascii="Arial" w:hAnsi="Arial" w:cs="Arial"/>
        </w:rPr>
        <w:t xml:space="preserve">resources for effective implementation. Strong backing from the government </w:t>
      </w:r>
      <w:r w:rsidR="00C4344B">
        <w:rPr>
          <w:rFonts w:ascii="Arial" w:hAnsi="Arial" w:cs="Arial"/>
        </w:rPr>
        <w:t xml:space="preserve">also </w:t>
      </w:r>
      <w:r w:rsidR="002C0CC1" w:rsidRPr="007969E9">
        <w:rPr>
          <w:rFonts w:ascii="Arial" w:hAnsi="Arial" w:cs="Arial"/>
        </w:rPr>
        <w:t>helps to overcome resistance from vested interests, align various stakeholders, and ensure policy continuity despite potential changes in government</w:t>
      </w:r>
      <w:r w:rsidR="00C4344B">
        <w:rPr>
          <w:rFonts w:ascii="Arial" w:hAnsi="Arial" w:cs="Arial"/>
        </w:rPr>
        <w:t xml:space="preserve"> </w:t>
      </w:r>
      <w:r w:rsidR="002D636E">
        <w:rPr>
          <w:rFonts w:ascii="Arial" w:hAnsi="Arial" w:cs="Arial"/>
        </w:rPr>
        <w:t>administration</w:t>
      </w:r>
      <w:r w:rsidR="002C0CC1" w:rsidRPr="007969E9">
        <w:rPr>
          <w:rFonts w:ascii="Arial" w:hAnsi="Arial" w:cs="Arial"/>
        </w:rPr>
        <w:t xml:space="preserve">.  In this </w:t>
      </w:r>
      <w:r w:rsidR="002D636E">
        <w:rPr>
          <w:rFonts w:ascii="Arial" w:hAnsi="Arial" w:cs="Arial"/>
        </w:rPr>
        <w:t>context</w:t>
      </w:r>
      <w:r w:rsidR="002C0CC1" w:rsidRPr="007969E9">
        <w:rPr>
          <w:rFonts w:ascii="Arial" w:hAnsi="Arial" w:cs="Arial"/>
        </w:rPr>
        <w:t xml:space="preserve">, we’re currently exploring </w:t>
      </w:r>
      <w:r w:rsidR="008C0D3C" w:rsidRPr="007969E9">
        <w:rPr>
          <w:rFonts w:ascii="Arial" w:hAnsi="Arial" w:cs="Arial"/>
        </w:rPr>
        <w:t>cooperation</w:t>
      </w:r>
      <w:r w:rsidR="002C0CC1" w:rsidRPr="007969E9">
        <w:rPr>
          <w:rFonts w:ascii="Arial" w:hAnsi="Arial" w:cs="Arial"/>
        </w:rPr>
        <w:t xml:space="preserve"> with </w:t>
      </w:r>
      <w:r w:rsidR="00E32F95">
        <w:rPr>
          <w:rFonts w:ascii="Arial" w:hAnsi="Arial" w:cs="Arial"/>
        </w:rPr>
        <w:t>a</w:t>
      </w:r>
      <w:r w:rsidR="002C0CC1" w:rsidRPr="007969E9">
        <w:rPr>
          <w:rFonts w:ascii="Arial" w:hAnsi="Arial" w:cs="Arial"/>
        </w:rPr>
        <w:t xml:space="preserve"> government agency</w:t>
      </w:r>
      <w:r w:rsidR="00D66E42">
        <w:rPr>
          <w:rFonts w:ascii="Arial" w:hAnsi="Arial" w:cs="Arial"/>
        </w:rPr>
        <w:t xml:space="preserve"> </w:t>
      </w:r>
      <w:r w:rsidR="00E32F95" w:rsidRPr="00E32F95">
        <w:rPr>
          <w:rFonts w:ascii="Arial" w:hAnsi="Arial" w:cs="Arial"/>
        </w:rPr>
        <w:t>to serve as the Responsible Party for implementing Components 1 and 2 outlined above</w:t>
      </w:r>
      <w:r w:rsidR="00E32F95">
        <w:rPr>
          <w:rFonts w:ascii="Arial" w:hAnsi="Arial" w:cs="Arial"/>
        </w:rPr>
        <w:t>.</w:t>
      </w:r>
      <w:r w:rsidR="005A1E7F" w:rsidRPr="005A1E7F">
        <w:t xml:space="preserve"> </w:t>
      </w:r>
      <w:r w:rsidR="005A1E7F" w:rsidRPr="005A1E7F">
        <w:rPr>
          <w:rFonts w:ascii="Arial" w:hAnsi="Arial" w:cs="Arial"/>
        </w:rPr>
        <w:t xml:space="preserve">In 2024, a government agency was identified to serve as the Responsible Party for the financial solution on harmful subsidy reform, and an assessment of its financial and management capacities was conducted. However, prior to the formalization of the agreement, the agency underwent a restructuring process, which was completed in March 2025. As a result of the restructuring, the agency’s revised mandate and strategic focus were found to be in conflict with the objectives of the financial solution. Consequently, a new public institution </w:t>
      </w:r>
      <w:r w:rsidR="009161F7">
        <w:rPr>
          <w:rFonts w:ascii="Arial" w:hAnsi="Arial" w:cs="Arial"/>
        </w:rPr>
        <w:t xml:space="preserve">will be explored in 2026 once the work on the subsidies will be resumed. </w:t>
      </w:r>
    </w:p>
    <w:p w14:paraId="411551E8" w14:textId="392312AA" w:rsidR="00F1029F" w:rsidRPr="008374CD" w:rsidRDefault="00007B1F" w:rsidP="00D44B8E">
      <w:pPr>
        <w:jc w:val="both"/>
        <w:rPr>
          <w:rFonts w:ascii="Arial" w:hAnsi="Arial" w:cs="Arial"/>
          <w:b/>
          <w:bCs/>
        </w:rPr>
      </w:pPr>
      <w:r w:rsidRPr="008374CD">
        <w:rPr>
          <w:rFonts w:ascii="Arial" w:hAnsi="Arial" w:cs="Arial"/>
          <w:b/>
          <w:bCs/>
        </w:rPr>
        <w:lastRenderedPageBreak/>
        <w:t xml:space="preserve">Integrating </w:t>
      </w:r>
      <w:r w:rsidR="008374CD" w:rsidRPr="008374CD">
        <w:rPr>
          <w:rFonts w:ascii="Arial" w:hAnsi="Arial" w:cs="Arial"/>
          <w:b/>
          <w:bCs/>
        </w:rPr>
        <w:t xml:space="preserve">Subsidy Reform Measures </w:t>
      </w:r>
      <w:r w:rsidR="00CF08DA" w:rsidRPr="008374CD">
        <w:rPr>
          <w:rFonts w:ascii="Arial" w:hAnsi="Arial" w:cs="Arial"/>
          <w:b/>
          <w:bCs/>
        </w:rPr>
        <w:t>into</w:t>
      </w:r>
      <w:r w:rsidR="008374CD" w:rsidRPr="008374CD">
        <w:rPr>
          <w:rFonts w:ascii="Arial" w:hAnsi="Arial" w:cs="Arial"/>
          <w:b/>
          <w:bCs/>
        </w:rPr>
        <w:t xml:space="preserve"> </w:t>
      </w:r>
      <w:r w:rsidR="008374CD">
        <w:rPr>
          <w:rFonts w:ascii="Arial" w:hAnsi="Arial" w:cs="Arial"/>
          <w:b/>
          <w:bCs/>
        </w:rPr>
        <w:t>th</w:t>
      </w:r>
      <w:r w:rsidR="008374CD" w:rsidRPr="008374CD">
        <w:rPr>
          <w:rFonts w:ascii="Arial" w:hAnsi="Arial" w:cs="Arial"/>
          <w:b/>
          <w:bCs/>
        </w:rPr>
        <w:t>e National Programs</w:t>
      </w:r>
    </w:p>
    <w:p w14:paraId="3B4674F5" w14:textId="039DF7AC" w:rsidR="009B389A" w:rsidRPr="009B389A" w:rsidRDefault="009B389A" w:rsidP="009B389A">
      <w:pPr>
        <w:jc w:val="both"/>
        <w:rPr>
          <w:rFonts w:ascii="Arial" w:hAnsi="Arial" w:cs="Arial"/>
        </w:rPr>
      </w:pPr>
      <w:r w:rsidRPr="009B389A">
        <w:rPr>
          <w:rFonts w:ascii="Arial" w:hAnsi="Arial" w:cs="Arial"/>
        </w:rPr>
        <w:t xml:space="preserve">BIOFIN Kyrgyzstan supported the development of the Green Economy Development Program of Kyrgyzstan for 2024-2028, specifically the section on Natural Ecosystems and Biodiversity. </w:t>
      </w:r>
      <w:r w:rsidR="00DD3018" w:rsidRPr="00DD3018">
        <w:rPr>
          <w:rFonts w:ascii="Arial" w:hAnsi="Arial" w:cs="Arial"/>
        </w:rPr>
        <w:t>This strategic framework aims to guide the country’s transition toward a more sustainable and environmentally responsible economy.</w:t>
      </w:r>
    </w:p>
    <w:p w14:paraId="349DF702" w14:textId="56F05EB1" w:rsidR="009B389A" w:rsidRDefault="009B389A" w:rsidP="00593871">
      <w:pPr>
        <w:jc w:val="both"/>
        <w:rPr>
          <w:rFonts w:ascii="Arial" w:hAnsi="Arial" w:cs="Arial"/>
        </w:rPr>
      </w:pPr>
      <w:r w:rsidRPr="009B389A">
        <w:rPr>
          <w:rFonts w:ascii="Arial" w:hAnsi="Arial" w:cs="Arial"/>
        </w:rPr>
        <w:t>Under the task “</w:t>
      </w:r>
      <w:r w:rsidR="003D22FF" w:rsidRPr="003D22FF">
        <w:rPr>
          <w:rFonts w:ascii="Arial" w:hAnsi="Arial" w:cs="Arial"/>
        </w:rPr>
        <w:t>Development and optimization of fiscal mechanisms to support and incentivize sustainable economic development of the Kyrgyz Republic and reduce negative impacts on the environment</w:t>
      </w:r>
      <w:r w:rsidRPr="009B389A">
        <w:rPr>
          <w:rFonts w:ascii="Arial" w:hAnsi="Arial" w:cs="Arial"/>
        </w:rPr>
        <w:t xml:space="preserve">”, </w:t>
      </w:r>
      <w:r w:rsidR="00F05739">
        <w:rPr>
          <w:rFonts w:ascii="Arial" w:hAnsi="Arial" w:cs="Arial"/>
        </w:rPr>
        <w:t>a measure</w:t>
      </w:r>
      <w:r w:rsidRPr="009B389A">
        <w:rPr>
          <w:rFonts w:ascii="Arial" w:hAnsi="Arial" w:cs="Arial"/>
        </w:rPr>
        <w:t xml:space="preserve"> </w:t>
      </w:r>
      <w:r w:rsidR="00303767">
        <w:rPr>
          <w:rFonts w:ascii="Arial" w:hAnsi="Arial" w:cs="Arial"/>
        </w:rPr>
        <w:t>“</w:t>
      </w:r>
      <w:r w:rsidR="00303767" w:rsidRPr="00F05739">
        <w:rPr>
          <w:rFonts w:ascii="Arial" w:hAnsi="Arial" w:cs="Arial"/>
        </w:rPr>
        <w:t>To develop and implement a methodology and indicators for assessing the effectiveness of government support measures in the context of the green economy</w:t>
      </w:r>
      <w:r w:rsidR="00303767">
        <w:rPr>
          <w:rFonts w:ascii="Arial" w:hAnsi="Arial" w:cs="Arial"/>
        </w:rPr>
        <w:t xml:space="preserve">” was </w:t>
      </w:r>
      <w:r w:rsidRPr="009B389A">
        <w:rPr>
          <w:rFonts w:ascii="Arial" w:hAnsi="Arial" w:cs="Arial"/>
        </w:rPr>
        <w:t>integrated</w:t>
      </w:r>
      <w:r w:rsidR="00303767">
        <w:rPr>
          <w:rFonts w:ascii="Arial" w:hAnsi="Arial" w:cs="Arial"/>
        </w:rPr>
        <w:t>.</w:t>
      </w:r>
      <w:r w:rsidR="00593871">
        <w:rPr>
          <w:rFonts w:ascii="Arial" w:hAnsi="Arial" w:cs="Arial"/>
        </w:rPr>
        <w:t xml:space="preserve"> </w:t>
      </w:r>
    </w:p>
    <w:p w14:paraId="2AA22A2E" w14:textId="77777777" w:rsidR="00C04E14" w:rsidRDefault="008D7BE2" w:rsidP="009B389A">
      <w:pPr>
        <w:jc w:val="both"/>
        <w:rPr>
          <w:rFonts w:ascii="Arial" w:hAnsi="Arial" w:cs="Arial"/>
        </w:rPr>
      </w:pPr>
      <w:r>
        <w:rPr>
          <w:rFonts w:ascii="Arial" w:hAnsi="Arial" w:cs="Arial"/>
        </w:rPr>
        <w:t>In addition</w:t>
      </w:r>
      <w:r w:rsidR="009F6223">
        <w:rPr>
          <w:rFonts w:ascii="Arial" w:hAnsi="Arial" w:cs="Arial"/>
        </w:rPr>
        <w:t>,</w:t>
      </w:r>
      <w:r w:rsidR="00735C4B" w:rsidRPr="00735C4B">
        <w:rPr>
          <w:rFonts w:ascii="Arial" w:hAnsi="Arial" w:cs="Arial"/>
        </w:rPr>
        <w:t xml:space="preserve"> BIOFIN </w:t>
      </w:r>
      <w:r w:rsidR="00735C4B">
        <w:rPr>
          <w:rFonts w:ascii="Arial" w:hAnsi="Arial" w:cs="Arial"/>
        </w:rPr>
        <w:t xml:space="preserve">Kyrgyzstan </w:t>
      </w:r>
      <w:r w:rsidR="00735C4B" w:rsidRPr="00735C4B">
        <w:rPr>
          <w:rFonts w:ascii="Arial" w:hAnsi="Arial" w:cs="Arial"/>
        </w:rPr>
        <w:t xml:space="preserve">has integrated </w:t>
      </w:r>
      <w:r w:rsidR="00E42F18">
        <w:rPr>
          <w:rFonts w:ascii="Arial" w:hAnsi="Arial" w:cs="Arial"/>
        </w:rPr>
        <w:t xml:space="preserve">a </w:t>
      </w:r>
      <w:r w:rsidR="00735C4B" w:rsidRPr="00735C4B">
        <w:rPr>
          <w:rFonts w:ascii="Arial" w:hAnsi="Arial" w:cs="Arial"/>
        </w:rPr>
        <w:t xml:space="preserve">specific measure and indicator targeted at phasing out or repurposing at least 3 environmentally harmful subsidies by 2030 into the </w:t>
      </w:r>
      <w:r w:rsidR="009F6223" w:rsidRPr="00735C4B">
        <w:rPr>
          <w:rFonts w:ascii="Arial" w:hAnsi="Arial" w:cs="Arial"/>
        </w:rPr>
        <w:t>National Biodiversity Strategy and Action Plan (NBSAP)</w:t>
      </w:r>
      <w:r w:rsidR="009F6223">
        <w:rPr>
          <w:rFonts w:ascii="Arial" w:hAnsi="Arial" w:cs="Arial"/>
        </w:rPr>
        <w:t xml:space="preserve"> which Kyrgyzstan is currently updating. </w:t>
      </w:r>
    </w:p>
    <w:p w14:paraId="2222905B" w14:textId="697FD072" w:rsidR="00B66AC3" w:rsidRPr="007969E9" w:rsidRDefault="00C04E14" w:rsidP="009B389A">
      <w:pPr>
        <w:jc w:val="both"/>
        <w:rPr>
          <w:rFonts w:ascii="Arial" w:hAnsi="Arial" w:cs="Arial"/>
        </w:rPr>
      </w:pPr>
      <w:r>
        <w:rPr>
          <w:rFonts w:ascii="Arial" w:hAnsi="Arial" w:cs="Arial"/>
        </w:rPr>
        <w:t>F</w:t>
      </w:r>
      <w:r w:rsidRPr="009B389A">
        <w:rPr>
          <w:rFonts w:ascii="Arial" w:hAnsi="Arial" w:cs="Arial"/>
        </w:rPr>
        <w:t>or the first time,</w:t>
      </w:r>
      <w:r>
        <w:rPr>
          <w:rFonts w:ascii="Arial" w:hAnsi="Arial" w:cs="Arial"/>
        </w:rPr>
        <w:t xml:space="preserve"> measures targeting the reduction of the negative impact of subsidies on the environment were</w:t>
      </w:r>
      <w:r w:rsidRPr="009B389A">
        <w:rPr>
          <w:rFonts w:ascii="Arial" w:hAnsi="Arial" w:cs="Arial"/>
        </w:rPr>
        <w:t xml:space="preserve"> mainstream</w:t>
      </w:r>
      <w:r>
        <w:rPr>
          <w:rFonts w:ascii="Arial" w:hAnsi="Arial" w:cs="Arial"/>
        </w:rPr>
        <w:t>ed</w:t>
      </w:r>
      <w:r w:rsidRPr="009B389A">
        <w:rPr>
          <w:rFonts w:ascii="Arial" w:hAnsi="Arial" w:cs="Arial"/>
        </w:rPr>
        <w:t xml:space="preserve"> in a key national development plan. </w:t>
      </w:r>
      <w:r w:rsidR="00C277E2" w:rsidRPr="009B389A">
        <w:rPr>
          <w:rFonts w:ascii="Arial" w:hAnsi="Arial" w:cs="Arial"/>
        </w:rPr>
        <w:t>The inclusion of these measures marks a significant step forward in aligning public finance instruments with the national goals of environmental sustainability and biodiversity protection. Their implementation will be further supported by BIOFIN Kyrgyzstan</w:t>
      </w:r>
      <w:r w:rsidR="009E6FCE">
        <w:rPr>
          <w:rFonts w:ascii="Arial" w:hAnsi="Arial" w:cs="Arial"/>
        </w:rPr>
        <w:t>.</w:t>
      </w:r>
      <w:r w:rsidR="002C454D">
        <w:rPr>
          <w:rFonts w:ascii="Arial" w:hAnsi="Arial" w:cs="Arial"/>
        </w:rPr>
        <w:t xml:space="preserve"> </w:t>
      </w:r>
    </w:p>
    <w:p w14:paraId="09D58B90" w14:textId="1203B363" w:rsidR="002511EB" w:rsidRPr="007969E9" w:rsidRDefault="002511EB" w:rsidP="00843D8F">
      <w:pPr>
        <w:keepNext/>
        <w:numPr>
          <w:ilvl w:val="1"/>
          <w:numId w:val="6"/>
        </w:numPr>
        <w:tabs>
          <w:tab w:val="num" w:pos="360"/>
        </w:tabs>
        <w:spacing w:before="360" w:after="120" w:line="240" w:lineRule="auto"/>
        <w:ind w:left="709" w:hanging="709"/>
        <w:outlineLvl w:val="1"/>
        <w:rPr>
          <w:rFonts w:ascii="Arial" w:hAnsi="Arial" w:cs="Arial"/>
          <w:bCs/>
          <w:color w:val="098435"/>
          <w:sz w:val="32"/>
          <w:szCs w:val="32"/>
        </w:rPr>
      </w:pPr>
      <w:bookmarkStart w:id="110" w:name="_Toc141713918"/>
      <w:bookmarkStart w:id="111" w:name="_Toc219880836"/>
      <w:bookmarkEnd w:id="109"/>
      <w:r w:rsidRPr="007969E9">
        <w:rPr>
          <w:rFonts w:ascii="Arial" w:hAnsi="Arial" w:cs="Arial"/>
          <w:bCs/>
          <w:color w:val="098435"/>
          <w:sz w:val="32"/>
          <w:szCs w:val="32"/>
        </w:rPr>
        <w:t>FS 3 « Improving the procedures of budget formulation and execution of protected areas and forestry enterprises», FS 4 “Scaling up the adoption of performance programme-based budgeting in P</w:t>
      </w:r>
      <w:r w:rsidR="005153C3">
        <w:rPr>
          <w:rFonts w:ascii="Arial" w:hAnsi="Arial" w:cs="Arial"/>
          <w:bCs/>
          <w:color w:val="098435"/>
          <w:sz w:val="32"/>
          <w:szCs w:val="32"/>
        </w:rPr>
        <w:t xml:space="preserve">rotected </w:t>
      </w:r>
      <w:r w:rsidRPr="007969E9">
        <w:rPr>
          <w:rFonts w:ascii="Arial" w:hAnsi="Arial" w:cs="Arial"/>
          <w:bCs/>
          <w:color w:val="098435"/>
          <w:sz w:val="32"/>
          <w:szCs w:val="32"/>
        </w:rPr>
        <w:t>A</w:t>
      </w:r>
      <w:r w:rsidR="005153C3">
        <w:rPr>
          <w:rFonts w:ascii="Arial" w:hAnsi="Arial" w:cs="Arial"/>
          <w:bCs/>
          <w:color w:val="098435"/>
          <w:sz w:val="32"/>
          <w:szCs w:val="32"/>
        </w:rPr>
        <w:t>rea</w:t>
      </w:r>
      <w:r w:rsidRPr="007969E9">
        <w:rPr>
          <w:rFonts w:ascii="Arial" w:hAnsi="Arial" w:cs="Arial"/>
          <w:bCs/>
          <w:color w:val="098435"/>
          <w:sz w:val="32"/>
          <w:szCs w:val="32"/>
        </w:rPr>
        <w:t>s” and FS 5 “Scaling up of the Financial Solutions No. 3 and 4”</w:t>
      </w:r>
      <w:bookmarkEnd w:id="110"/>
      <w:bookmarkEnd w:id="111"/>
    </w:p>
    <w:p w14:paraId="4EFAE637" w14:textId="2D924A58" w:rsidR="007657E2" w:rsidRPr="007657E2" w:rsidRDefault="007657E2" w:rsidP="007657E2">
      <w:pPr>
        <w:jc w:val="both"/>
        <w:rPr>
          <w:rFonts w:ascii="Arial" w:hAnsi="Arial" w:cs="Arial"/>
        </w:rPr>
      </w:pPr>
      <w:bookmarkStart w:id="112" w:name="_Hlk109035822"/>
      <w:r w:rsidRPr="007657E2">
        <w:rPr>
          <w:rFonts w:ascii="Arial" w:hAnsi="Arial" w:cs="Arial"/>
        </w:rPr>
        <w:t>The first phase of BIOFIN in the Kyrgyz Republic identified several challenges in public budget financing for environmental protection institutions, including:</w:t>
      </w:r>
    </w:p>
    <w:p w14:paraId="0A5E9FAE" w14:textId="77777777" w:rsidR="007657E2" w:rsidRPr="007657E2" w:rsidRDefault="007657E2" w:rsidP="007657E2">
      <w:pPr>
        <w:pStyle w:val="af8"/>
        <w:numPr>
          <w:ilvl w:val="0"/>
          <w:numId w:val="26"/>
        </w:numPr>
        <w:jc w:val="both"/>
        <w:rPr>
          <w:rFonts w:ascii="Arial" w:hAnsi="Arial" w:cs="Arial"/>
        </w:rPr>
      </w:pPr>
      <w:r w:rsidRPr="007657E2">
        <w:rPr>
          <w:rFonts w:ascii="Arial" w:hAnsi="Arial" w:cs="Arial"/>
        </w:rPr>
        <w:t>Weak alignment between budgets and strategic plans.</w:t>
      </w:r>
    </w:p>
    <w:p w14:paraId="6B208590" w14:textId="77777777" w:rsidR="007657E2" w:rsidRPr="007657E2" w:rsidRDefault="007657E2" w:rsidP="007657E2">
      <w:pPr>
        <w:pStyle w:val="af8"/>
        <w:numPr>
          <w:ilvl w:val="0"/>
          <w:numId w:val="26"/>
        </w:numPr>
        <w:jc w:val="both"/>
        <w:rPr>
          <w:rFonts w:ascii="Arial" w:hAnsi="Arial" w:cs="Arial"/>
        </w:rPr>
      </w:pPr>
      <w:r w:rsidRPr="007657E2">
        <w:rPr>
          <w:rFonts w:ascii="Arial" w:hAnsi="Arial" w:cs="Arial"/>
        </w:rPr>
        <w:t>Limited use of functional budget classifications.</w:t>
      </w:r>
    </w:p>
    <w:p w14:paraId="59B0DDB9" w14:textId="77777777" w:rsidR="007657E2" w:rsidRPr="007657E2" w:rsidRDefault="007657E2" w:rsidP="007657E2">
      <w:pPr>
        <w:pStyle w:val="af8"/>
        <w:numPr>
          <w:ilvl w:val="0"/>
          <w:numId w:val="26"/>
        </w:numPr>
        <w:jc w:val="both"/>
        <w:rPr>
          <w:rFonts w:ascii="Arial" w:hAnsi="Arial" w:cs="Arial"/>
        </w:rPr>
      </w:pPr>
      <w:r w:rsidRPr="007657E2">
        <w:rPr>
          <w:rFonts w:ascii="Arial" w:hAnsi="Arial" w:cs="Arial"/>
        </w:rPr>
        <w:t>Disruptive delays in financing activities, particularly those critical for seasonal operations.</w:t>
      </w:r>
    </w:p>
    <w:p w14:paraId="7DC9E044" w14:textId="77777777" w:rsidR="00C47009" w:rsidRDefault="007657E2" w:rsidP="007657E2">
      <w:pPr>
        <w:jc w:val="both"/>
        <w:rPr>
          <w:rFonts w:ascii="Arial" w:hAnsi="Arial" w:cs="Arial"/>
        </w:rPr>
      </w:pPr>
      <w:r w:rsidRPr="007657E2">
        <w:rPr>
          <w:rFonts w:ascii="Arial" w:hAnsi="Arial" w:cs="Arial"/>
        </w:rPr>
        <w:t>These inefficiencies hinder the ability of Protected Areas (PAs) and Forestry Enterprises (FEs) to effectively implement biodiversity conservation priorities.</w:t>
      </w:r>
    </w:p>
    <w:bookmarkEnd w:id="112"/>
    <w:p w14:paraId="0544E328" w14:textId="61B34B1D" w:rsidR="00C47009" w:rsidRDefault="00C47009" w:rsidP="002511EB">
      <w:pPr>
        <w:jc w:val="both"/>
        <w:rPr>
          <w:rFonts w:ascii="Arial" w:hAnsi="Arial" w:cs="Arial"/>
        </w:rPr>
      </w:pPr>
      <w:r w:rsidRPr="00C47009">
        <w:rPr>
          <w:rFonts w:ascii="Arial" w:hAnsi="Arial" w:cs="Arial"/>
        </w:rPr>
        <w:lastRenderedPageBreak/>
        <w:t>F</w:t>
      </w:r>
      <w:r w:rsidR="002E4A7A">
        <w:rPr>
          <w:rFonts w:ascii="Arial" w:hAnsi="Arial" w:cs="Arial"/>
        </w:rPr>
        <w:t xml:space="preserve">inancial </w:t>
      </w:r>
      <w:r w:rsidRPr="00C47009">
        <w:rPr>
          <w:rFonts w:ascii="Arial" w:hAnsi="Arial" w:cs="Arial"/>
        </w:rPr>
        <w:t>S</w:t>
      </w:r>
      <w:r w:rsidR="002E4A7A">
        <w:rPr>
          <w:rFonts w:ascii="Arial" w:hAnsi="Arial" w:cs="Arial"/>
        </w:rPr>
        <w:t>olution</w:t>
      </w:r>
      <w:r w:rsidRPr="00C47009">
        <w:rPr>
          <w:rFonts w:ascii="Arial" w:hAnsi="Arial" w:cs="Arial"/>
        </w:rPr>
        <w:t xml:space="preserve"> 3</w:t>
      </w:r>
      <w:r w:rsidR="002E4A7A">
        <w:rPr>
          <w:rFonts w:ascii="Arial" w:hAnsi="Arial" w:cs="Arial"/>
        </w:rPr>
        <w:t xml:space="preserve"> (FS 3)</w:t>
      </w:r>
      <w:r w:rsidR="004D53E6">
        <w:rPr>
          <w:rFonts w:ascii="Arial" w:hAnsi="Arial" w:cs="Arial"/>
        </w:rPr>
        <w:t xml:space="preserve"> addresses these challenges, by</w:t>
      </w:r>
      <w:r w:rsidRPr="00C47009">
        <w:rPr>
          <w:rFonts w:ascii="Arial" w:hAnsi="Arial" w:cs="Arial"/>
        </w:rPr>
        <w:t xml:space="preserve"> focus</w:t>
      </w:r>
      <w:r w:rsidR="004D53E6">
        <w:rPr>
          <w:rFonts w:ascii="Arial" w:hAnsi="Arial" w:cs="Arial"/>
        </w:rPr>
        <w:t>ing</w:t>
      </w:r>
      <w:r w:rsidRPr="00C47009">
        <w:rPr>
          <w:rFonts w:ascii="Arial" w:hAnsi="Arial" w:cs="Arial"/>
        </w:rPr>
        <w:t xml:space="preserve"> on revi</w:t>
      </w:r>
      <w:r w:rsidR="004D53E6">
        <w:rPr>
          <w:rFonts w:ascii="Arial" w:hAnsi="Arial" w:cs="Arial"/>
        </w:rPr>
        <w:t>sion of</w:t>
      </w:r>
      <w:r w:rsidRPr="00C47009">
        <w:rPr>
          <w:rFonts w:ascii="Arial" w:hAnsi="Arial" w:cs="Arial"/>
        </w:rPr>
        <w:t xml:space="preserve"> budgeting rules to establish clear principles for public financing of PAs and FEs. By improving budget formulation and execution, this financial solution aims to create a robust foundation for sustainable financial management within environmental protection institutions.</w:t>
      </w:r>
    </w:p>
    <w:p w14:paraId="2FA5076D" w14:textId="5651402E" w:rsidR="002511EB" w:rsidRPr="007969E9" w:rsidRDefault="002511EB" w:rsidP="002511EB">
      <w:pPr>
        <w:jc w:val="both"/>
        <w:rPr>
          <w:rFonts w:ascii="Arial" w:hAnsi="Arial" w:cs="Arial"/>
        </w:rPr>
      </w:pPr>
      <w:r w:rsidRPr="007969E9">
        <w:rPr>
          <w:rFonts w:ascii="Arial" w:hAnsi="Arial" w:cs="Arial"/>
        </w:rPr>
        <w:t xml:space="preserve">The budget allocation in PAs is insufficiently correlated to performance indicators. Most of the budget is allocated to </w:t>
      </w:r>
      <w:r w:rsidR="006567F6" w:rsidRPr="007969E9">
        <w:rPr>
          <w:rFonts w:ascii="Arial" w:hAnsi="Arial" w:cs="Arial"/>
        </w:rPr>
        <w:t>the salaries</w:t>
      </w:r>
      <w:r w:rsidRPr="007969E9">
        <w:rPr>
          <w:rFonts w:ascii="Arial" w:hAnsi="Arial" w:cs="Arial"/>
        </w:rPr>
        <w:t xml:space="preserve"> of the employees and often there are no funds to maintain facilities, purchase equipment and cover other implementation costs. Thus, the objective of </w:t>
      </w:r>
      <w:r w:rsidR="00923F69" w:rsidRPr="007969E9">
        <w:rPr>
          <w:rFonts w:ascii="Arial" w:hAnsi="Arial" w:cs="Arial"/>
        </w:rPr>
        <w:t>Financial</w:t>
      </w:r>
      <w:r w:rsidR="00923F69">
        <w:rPr>
          <w:rFonts w:ascii="Arial" w:hAnsi="Arial" w:cs="Arial"/>
        </w:rPr>
        <w:t xml:space="preserve"> Solution 4 (F</w:t>
      </w:r>
      <w:r w:rsidRPr="007969E9">
        <w:rPr>
          <w:rFonts w:ascii="Arial" w:hAnsi="Arial" w:cs="Arial"/>
        </w:rPr>
        <w:t>S 4</w:t>
      </w:r>
      <w:r w:rsidR="00923F69">
        <w:rPr>
          <w:rFonts w:ascii="Arial" w:hAnsi="Arial" w:cs="Arial"/>
        </w:rPr>
        <w:t>)</w:t>
      </w:r>
      <w:r w:rsidRPr="007969E9">
        <w:rPr>
          <w:rFonts w:ascii="Arial" w:hAnsi="Arial" w:cs="Arial"/>
        </w:rPr>
        <w:t xml:space="preserve"> is </w:t>
      </w:r>
      <w:r w:rsidR="0080327D" w:rsidRPr="0080327D">
        <w:rPr>
          <w:rFonts w:ascii="Arial" w:hAnsi="Arial" w:cs="Arial"/>
        </w:rPr>
        <w:t>to enhance the efficiency, transparency, and accountability of public financial management by aligning resource allocation with strategic objectives and measurable outcomes</w:t>
      </w:r>
      <w:r w:rsidR="0080327D">
        <w:rPr>
          <w:rFonts w:ascii="Arial" w:hAnsi="Arial" w:cs="Arial"/>
        </w:rPr>
        <w:t>.</w:t>
      </w:r>
    </w:p>
    <w:p w14:paraId="691AB63D" w14:textId="5F6D2030" w:rsidR="002511EB" w:rsidRPr="007969E9" w:rsidRDefault="00060D2B" w:rsidP="00060D2B">
      <w:pPr>
        <w:jc w:val="both"/>
        <w:rPr>
          <w:rFonts w:ascii="Arial" w:hAnsi="Arial" w:cs="Arial"/>
        </w:rPr>
      </w:pPr>
      <w:r w:rsidRPr="00060D2B">
        <w:rPr>
          <w:rFonts w:ascii="Arial" w:hAnsi="Arial" w:cs="Arial"/>
        </w:rPr>
        <w:t>F</w:t>
      </w:r>
      <w:r w:rsidR="00923F69">
        <w:rPr>
          <w:rFonts w:ascii="Arial" w:hAnsi="Arial" w:cs="Arial"/>
        </w:rPr>
        <w:t xml:space="preserve">inancial </w:t>
      </w:r>
      <w:r w:rsidRPr="00060D2B">
        <w:rPr>
          <w:rFonts w:ascii="Arial" w:hAnsi="Arial" w:cs="Arial"/>
        </w:rPr>
        <w:t>S</w:t>
      </w:r>
      <w:r w:rsidR="00923F69">
        <w:rPr>
          <w:rFonts w:ascii="Arial" w:hAnsi="Arial" w:cs="Arial"/>
        </w:rPr>
        <w:t xml:space="preserve">olution </w:t>
      </w:r>
      <w:r w:rsidRPr="00060D2B">
        <w:rPr>
          <w:rFonts w:ascii="Arial" w:hAnsi="Arial" w:cs="Arial"/>
        </w:rPr>
        <w:t>5</w:t>
      </w:r>
      <w:r w:rsidR="00923F69">
        <w:rPr>
          <w:rFonts w:ascii="Arial" w:hAnsi="Arial" w:cs="Arial"/>
        </w:rPr>
        <w:t xml:space="preserve"> (FS 5)</w:t>
      </w:r>
      <w:r w:rsidRPr="00060D2B">
        <w:rPr>
          <w:rFonts w:ascii="Arial" w:hAnsi="Arial" w:cs="Arial"/>
        </w:rPr>
        <w:t xml:space="preserve"> integrates and builds on the objectives of FS 3 and FS 4, focusing on creating conditions for results-oriented budgeting and ensuring sufficient funding for PAs and FEs. This approach ensures that budget allocations are tied to performance indicators and strategic biodiversity objectives</w:t>
      </w:r>
      <w:r w:rsidR="002511EB" w:rsidRPr="007969E9">
        <w:rPr>
          <w:rFonts w:ascii="Arial" w:hAnsi="Arial" w:cs="Arial"/>
        </w:rPr>
        <w:t>.</w:t>
      </w:r>
    </w:p>
    <w:p w14:paraId="2C6F8440" w14:textId="77777777" w:rsidR="002F633B" w:rsidRPr="007969E9" w:rsidRDefault="002F633B" w:rsidP="00843D8F">
      <w:pPr>
        <w:pStyle w:val="af8"/>
        <w:keepNext/>
        <w:numPr>
          <w:ilvl w:val="1"/>
          <w:numId w:val="9"/>
        </w:numPr>
        <w:spacing w:before="360" w:after="120" w:line="240" w:lineRule="auto"/>
        <w:contextualSpacing w:val="0"/>
        <w:outlineLvl w:val="2"/>
        <w:rPr>
          <w:rFonts w:ascii="Arial" w:hAnsi="Arial" w:cs="Arial"/>
          <w:bCs/>
          <w:vanish/>
          <w:sz w:val="28"/>
          <w:szCs w:val="28"/>
        </w:rPr>
      </w:pPr>
      <w:bookmarkStart w:id="113" w:name="_Toc157162768"/>
      <w:bookmarkStart w:id="114" w:name="_Toc157163583"/>
      <w:bookmarkStart w:id="115" w:name="_Toc157266734"/>
      <w:bookmarkStart w:id="116" w:name="_Toc157266913"/>
      <w:bookmarkStart w:id="117" w:name="_Toc172315224"/>
      <w:bookmarkStart w:id="118" w:name="_Toc172315258"/>
      <w:bookmarkStart w:id="119" w:name="_Toc172315651"/>
      <w:bookmarkStart w:id="120" w:name="_Toc172317714"/>
      <w:bookmarkStart w:id="121" w:name="_Toc186229621"/>
      <w:bookmarkStart w:id="122" w:name="_Toc186230951"/>
      <w:bookmarkStart w:id="123" w:name="_Toc186231000"/>
      <w:bookmarkStart w:id="124" w:name="_Toc203660839"/>
      <w:bookmarkStart w:id="125" w:name="_Toc203669839"/>
      <w:bookmarkStart w:id="126" w:name="_Toc203671278"/>
      <w:bookmarkStart w:id="127" w:name="_Toc203684676"/>
      <w:bookmarkStart w:id="128" w:name="_Toc141713919"/>
      <w:bookmarkStart w:id="129" w:name="_Toc219874288"/>
      <w:bookmarkStart w:id="130" w:name="_Toc219875493"/>
      <w:bookmarkStart w:id="131" w:name="_Toc219880761"/>
      <w:bookmarkStart w:id="132" w:name="_Toc219880837"/>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9"/>
      <w:bookmarkEnd w:id="130"/>
      <w:bookmarkEnd w:id="131"/>
      <w:bookmarkEnd w:id="132"/>
    </w:p>
    <w:p w14:paraId="40CE339A" w14:textId="5B9634AC" w:rsidR="002511EB" w:rsidRPr="007969E9" w:rsidRDefault="002511EB" w:rsidP="00843D8F">
      <w:pPr>
        <w:keepNext/>
        <w:numPr>
          <w:ilvl w:val="2"/>
          <w:numId w:val="9"/>
        </w:numPr>
        <w:spacing w:before="360" w:after="120" w:line="240" w:lineRule="auto"/>
        <w:ind w:left="504"/>
        <w:outlineLvl w:val="2"/>
        <w:rPr>
          <w:rFonts w:ascii="Arial" w:hAnsi="Arial" w:cs="Arial"/>
          <w:bCs/>
          <w:sz w:val="28"/>
          <w:szCs w:val="28"/>
        </w:rPr>
      </w:pPr>
      <w:bookmarkStart w:id="133" w:name="_Toc219880838"/>
      <w:r w:rsidRPr="007969E9">
        <w:rPr>
          <w:rFonts w:ascii="Arial" w:hAnsi="Arial" w:cs="Arial"/>
          <w:bCs/>
          <w:sz w:val="28"/>
          <w:szCs w:val="28"/>
        </w:rPr>
        <w:t>Activities and results related to output areas</w:t>
      </w:r>
      <w:bookmarkEnd w:id="128"/>
      <w:bookmarkEnd w:id="133"/>
    </w:p>
    <w:p w14:paraId="419E74EF" w14:textId="153163B3" w:rsidR="002511EB" w:rsidRPr="007969E9" w:rsidRDefault="002511EB" w:rsidP="002511EB">
      <w:pPr>
        <w:jc w:val="both"/>
        <w:rPr>
          <w:rFonts w:ascii="Arial" w:hAnsi="Arial" w:cs="Arial"/>
        </w:rPr>
      </w:pPr>
      <w:r w:rsidRPr="007969E9">
        <w:rPr>
          <w:rFonts w:ascii="Arial" w:hAnsi="Arial" w:cs="Arial"/>
        </w:rPr>
        <w:t>The key partners in the implementation of the FS are the Ministry of Finance, the Ministry of Natural Resources, Ecology and Technical Supervision,</w:t>
      </w:r>
      <w:r w:rsidR="00DC35CC" w:rsidRPr="007969E9">
        <w:rPr>
          <w:rFonts w:ascii="Arial" w:hAnsi="Arial" w:cs="Arial"/>
        </w:rPr>
        <w:t xml:space="preserve"> and</w:t>
      </w:r>
      <w:r w:rsidRPr="007969E9">
        <w:rPr>
          <w:rFonts w:ascii="Arial" w:hAnsi="Arial" w:cs="Arial"/>
        </w:rPr>
        <w:t xml:space="preserve"> the Ministry of</w:t>
      </w:r>
      <w:r w:rsidR="00DC35CC" w:rsidRPr="007969E9">
        <w:rPr>
          <w:rFonts w:ascii="Arial" w:hAnsi="Arial" w:cs="Arial"/>
        </w:rPr>
        <w:t xml:space="preserve"> </w:t>
      </w:r>
      <w:r w:rsidR="003F5EAB" w:rsidRPr="007969E9">
        <w:rPr>
          <w:rFonts w:ascii="Arial" w:hAnsi="Arial" w:cs="Arial"/>
        </w:rPr>
        <w:t>Emergency Situations</w:t>
      </w:r>
      <w:r w:rsidRPr="007969E9">
        <w:rPr>
          <w:rFonts w:ascii="Arial" w:hAnsi="Arial" w:cs="Arial"/>
        </w:rPr>
        <w:t>.</w:t>
      </w:r>
    </w:p>
    <w:p w14:paraId="2C23052F" w14:textId="49BD0EAB" w:rsidR="008573DA" w:rsidRDefault="008C41CC" w:rsidP="00883465">
      <w:pPr>
        <w:jc w:val="both"/>
        <w:rPr>
          <w:rFonts w:ascii="Arial" w:hAnsi="Arial" w:cs="Arial"/>
        </w:rPr>
      </w:pPr>
      <w:bookmarkStart w:id="134" w:name="_Hlk109021889"/>
      <w:r>
        <w:rPr>
          <w:rFonts w:ascii="Arial" w:hAnsi="Arial" w:cs="Arial"/>
        </w:rPr>
        <w:t>The i</w:t>
      </w:r>
      <w:r w:rsidR="00137459" w:rsidRPr="00D96D91">
        <w:rPr>
          <w:rFonts w:ascii="Arial" w:hAnsi="Arial" w:cs="Arial"/>
        </w:rPr>
        <w:t>mplementation of the</w:t>
      </w:r>
      <w:r w:rsidR="00573E62" w:rsidRPr="00D96D91">
        <w:rPr>
          <w:rFonts w:ascii="Arial" w:hAnsi="Arial" w:cs="Arial"/>
        </w:rPr>
        <w:t xml:space="preserve"> FS</w:t>
      </w:r>
      <w:r w:rsidR="006C64EB" w:rsidRPr="00D96D91">
        <w:rPr>
          <w:rFonts w:ascii="Arial" w:hAnsi="Arial" w:cs="Arial"/>
        </w:rPr>
        <w:t xml:space="preserve">s </w:t>
      </w:r>
      <w:r w:rsidR="00DC2805" w:rsidRPr="00D96D91">
        <w:rPr>
          <w:rFonts w:ascii="Arial" w:hAnsi="Arial" w:cs="Arial"/>
        </w:rPr>
        <w:t xml:space="preserve">has been completed in 2024. </w:t>
      </w:r>
      <w:bookmarkEnd w:id="134"/>
      <w:r>
        <w:rPr>
          <w:rFonts w:ascii="Arial" w:hAnsi="Arial" w:cs="Arial"/>
        </w:rPr>
        <w:t xml:space="preserve">With </w:t>
      </w:r>
      <w:r w:rsidR="00883465" w:rsidRPr="00883465">
        <w:rPr>
          <w:rFonts w:ascii="Arial" w:hAnsi="Arial" w:cs="Arial"/>
        </w:rPr>
        <w:t>BIOFIN</w:t>
      </w:r>
      <w:r>
        <w:rPr>
          <w:rFonts w:ascii="Arial" w:hAnsi="Arial" w:cs="Arial"/>
        </w:rPr>
        <w:t xml:space="preserve"> support,</w:t>
      </w:r>
      <w:r w:rsidR="00883465" w:rsidRPr="00883465">
        <w:rPr>
          <w:rFonts w:ascii="Arial" w:hAnsi="Arial" w:cs="Arial"/>
        </w:rPr>
        <w:t xml:space="preserve"> </w:t>
      </w:r>
      <w:r>
        <w:rPr>
          <w:rFonts w:ascii="Arial" w:hAnsi="Arial" w:cs="Arial"/>
        </w:rPr>
        <w:t>all</w:t>
      </w:r>
      <w:r w:rsidR="00883465" w:rsidRPr="00883465">
        <w:rPr>
          <w:rFonts w:ascii="Arial" w:hAnsi="Arial" w:cs="Arial"/>
        </w:rPr>
        <w:t xml:space="preserve"> Protected areas (PAs) and Forest enterprises (FEs) </w:t>
      </w:r>
      <w:r>
        <w:rPr>
          <w:rFonts w:ascii="Arial" w:hAnsi="Arial" w:cs="Arial"/>
        </w:rPr>
        <w:t>introduced</w:t>
      </w:r>
      <w:r w:rsidR="00883465" w:rsidRPr="00883465">
        <w:rPr>
          <w:rFonts w:ascii="Arial" w:hAnsi="Arial" w:cs="Arial"/>
        </w:rPr>
        <w:t xml:space="preserve"> </w:t>
      </w:r>
      <w:r w:rsidR="00883465">
        <w:rPr>
          <w:rFonts w:ascii="Arial" w:hAnsi="Arial" w:cs="Arial"/>
        </w:rPr>
        <w:t>program</w:t>
      </w:r>
      <w:r w:rsidR="00883465" w:rsidRPr="00883465">
        <w:rPr>
          <w:rFonts w:ascii="Arial" w:hAnsi="Arial" w:cs="Arial"/>
        </w:rPr>
        <w:t>-based budgeting</w:t>
      </w:r>
      <w:r>
        <w:rPr>
          <w:rFonts w:ascii="Arial" w:hAnsi="Arial" w:cs="Arial"/>
        </w:rPr>
        <w:t xml:space="preserve"> (PBB)</w:t>
      </w:r>
      <w:r w:rsidR="00883465" w:rsidRPr="00883465">
        <w:rPr>
          <w:rFonts w:ascii="Arial" w:hAnsi="Arial" w:cs="Arial"/>
        </w:rPr>
        <w:t xml:space="preserve"> through </w:t>
      </w:r>
      <w:r w:rsidR="005B6537">
        <w:rPr>
          <w:rFonts w:ascii="Arial" w:hAnsi="Arial" w:cs="Arial"/>
        </w:rPr>
        <w:t xml:space="preserve">the </w:t>
      </w:r>
      <w:r w:rsidR="00883465" w:rsidRPr="00883465">
        <w:rPr>
          <w:rFonts w:ascii="Arial" w:hAnsi="Arial" w:cs="Arial"/>
        </w:rPr>
        <w:t xml:space="preserve">development and </w:t>
      </w:r>
      <w:r w:rsidR="005B6537">
        <w:rPr>
          <w:rFonts w:ascii="Arial" w:hAnsi="Arial" w:cs="Arial"/>
        </w:rPr>
        <w:t xml:space="preserve">formal </w:t>
      </w:r>
      <w:r w:rsidR="00883465" w:rsidRPr="00883465">
        <w:rPr>
          <w:rFonts w:ascii="Arial" w:hAnsi="Arial" w:cs="Arial"/>
        </w:rPr>
        <w:t>approval of</w:t>
      </w:r>
      <w:r w:rsidR="00883465">
        <w:rPr>
          <w:rFonts w:ascii="Arial" w:hAnsi="Arial" w:cs="Arial"/>
        </w:rPr>
        <w:t xml:space="preserve"> </w:t>
      </w:r>
      <w:r w:rsidR="00883465" w:rsidRPr="00883465">
        <w:rPr>
          <w:rFonts w:ascii="Arial" w:hAnsi="Arial" w:cs="Arial"/>
        </w:rPr>
        <w:t xml:space="preserve">methodological guidelines on </w:t>
      </w:r>
      <w:r w:rsidR="00AF7280">
        <w:rPr>
          <w:rFonts w:ascii="Arial" w:hAnsi="Arial" w:cs="Arial"/>
        </w:rPr>
        <w:t>P</w:t>
      </w:r>
      <w:r w:rsidR="00883465" w:rsidRPr="00883465">
        <w:rPr>
          <w:rFonts w:ascii="Arial" w:hAnsi="Arial" w:cs="Arial"/>
        </w:rPr>
        <w:t xml:space="preserve">BB for PAs and FEs </w:t>
      </w:r>
      <w:r w:rsidR="005B6537">
        <w:rPr>
          <w:rFonts w:ascii="Arial" w:hAnsi="Arial" w:cs="Arial"/>
        </w:rPr>
        <w:t xml:space="preserve">and </w:t>
      </w:r>
      <w:r w:rsidR="00883465" w:rsidRPr="00883465">
        <w:rPr>
          <w:rFonts w:ascii="Arial" w:hAnsi="Arial" w:cs="Arial"/>
        </w:rPr>
        <w:t>comprehensive capacity building measures. Additionally, hand-on support was provided to develop well-structured management plans for all PAs to ensure an effective budgeting process.</w:t>
      </w:r>
      <w:r w:rsidR="007765E9">
        <w:rPr>
          <w:rFonts w:ascii="Arial" w:hAnsi="Arial" w:cs="Arial"/>
        </w:rPr>
        <w:t xml:space="preserve"> </w:t>
      </w:r>
    </w:p>
    <w:p w14:paraId="26D916D5" w14:textId="77777777" w:rsidR="00100B43" w:rsidRDefault="00100B43" w:rsidP="00E32E23">
      <w:pPr>
        <w:jc w:val="both"/>
        <w:rPr>
          <w:rFonts w:ascii="Arial" w:hAnsi="Arial" w:cs="Arial"/>
        </w:rPr>
      </w:pPr>
      <w:r w:rsidRPr="00100B43">
        <w:rPr>
          <w:rFonts w:ascii="Arial" w:hAnsi="Arial" w:cs="Arial"/>
        </w:rPr>
        <w:t>To sustain and build upon the results achieved during the previous phase, follow-up support is essential. The transition to a results-based budgeting system requires not only technical knowledge but also a significant shift in institutional mindset and operational culture. Continued training and capacity building for PA and FE staff are necessary to ensure that newly acquired skills and practices become institutionalized. Furthermore, follow-up efforts will help identify and address any remaining gaps or implementation challenges.</w:t>
      </w:r>
    </w:p>
    <w:p w14:paraId="226461F3" w14:textId="77777777" w:rsidR="00161845" w:rsidRDefault="00161845" w:rsidP="00691AA5">
      <w:pPr>
        <w:jc w:val="both"/>
        <w:rPr>
          <w:rFonts w:ascii="Arial" w:hAnsi="Arial" w:cs="Arial"/>
        </w:rPr>
      </w:pPr>
      <w:r w:rsidRPr="00161845">
        <w:rPr>
          <w:rFonts w:ascii="Arial" w:hAnsi="Arial" w:cs="Arial"/>
        </w:rPr>
        <w:t>In 2025, the Ministry of Finance initiated a revision of the Instruction on the Formation, Review, and Execution of Program-Based Budgets. Once these revisions are finalized, corresponding updates will need to be made to the methodological guidelines used by PAs and FEs to align with the national PBB framework.</w:t>
      </w:r>
    </w:p>
    <w:p w14:paraId="682BFCF1" w14:textId="4A09A4F3" w:rsidR="00691AA5" w:rsidRPr="007969E9" w:rsidRDefault="00BF3212" w:rsidP="00691AA5">
      <w:pPr>
        <w:jc w:val="both"/>
        <w:rPr>
          <w:rFonts w:ascii="Arial" w:hAnsi="Arial" w:cs="Arial"/>
        </w:rPr>
      </w:pPr>
      <w:r w:rsidRPr="00BF3212">
        <w:rPr>
          <w:rFonts w:ascii="Arial" w:hAnsi="Arial" w:cs="Arial"/>
        </w:rPr>
        <w:t xml:space="preserve">In support of these efforts, BIOFIN Kyrgyzstan has secured new funding from the European Union in 2025. One of the key focus areas of this funding will be to provide continued technical </w:t>
      </w:r>
      <w:r w:rsidRPr="00BF3212">
        <w:rPr>
          <w:rFonts w:ascii="Arial" w:hAnsi="Arial" w:cs="Arial"/>
        </w:rPr>
        <w:lastRenderedPageBreak/>
        <w:t>and capacity-building support for the effective implementation of program-based budgeting in Protected Areas and Forest Enterprises.</w:t>
      </w:r>
      <w:r>
        <w:rPr>
          <w:rFonts w:ascii="Arial" w:hAnsi="Arial" w:cs="Arial"/>
        </w:rPr>
        <w:t xml:space="preserve"> </w:t>
      </w:r>
      <w:r w:rsidR="00401F5C">
        <w:rPr>
          <w:rFonts w:ascii="Arial" w:hAnsi="Arial" w:cs="Arial"/>
        </w:rPr>
        <w:t xml:space="preserve">The specific scope of work for the next phase will be defined </w:t>
      </w:r>
      <w:r w:rsidR="0051602D">
        <w:rPr>
          <w:rFonts w:ascii="Arial" w:hAnsi="Arial" w:cs="Arial"/>
        </w:rPr>
        <w:t>following</w:t>
      </w:r>
      <w:r w:rsidR="00401F5C">
        <w:rPr>
          <w:rFonts w:ascii="Arial" w:hAnsi="Arial" w:cs="Arial"/>
        </w:rPr>
        <w:t xml:space="preserve"> the adoption of the</w:t>
      </w:r>
      <w:r w:rsidR="0051602D">
        <w:rPr>
          <w:rFonts w:ascii="Arial" w:hAnsi="Arial" w:cs="Arial"/>
        </w:rPr>
        <w:t xml:space="preserve"> revised national PBB framework</w:t>
      </w:r>
      <w:r w:rsidR="00731CB2">
        <w:rPr>
          <w:rFonts w:ascii="Arial" w:hAnsi="Arial" w:cs="Arial"/>
        </w:rPr>
        <w:t>.</w:t>
      </w:r>
    </w:p>
    <w:p w14:paraId="63829ECA" w14:textId="748B0E16" w:rsidR="002511EB" w:rsidRPr="007969E9" w:rsidRDefault="002511EB" w:rsidP="00843D8F">
      <w:pPr>
        <w:keepNext/>
        <w:numPr>
          <w:ilvl w:val="1"/>
          <w:numId w:val="6"/>
        </w:numPr>
        <w:tabs>
          <w:tab w:val="num" w:pos="360"/>
        </w:tabs>
        <w:spacing w:before="360" w:after="120" w:line="240" w:lineRule="auto"/>
        <w:ind w:left="709" w:hanging="709"/>
        <w:outlineLvl w:val="1"/>
        <w:rPr>
          <w:rFonts w:ascii="Arial" w:hAnsi="Arial" w:cs="Arial"/>
          <w:bCs/>
          <w:color w:val="098435"/>
          <w:sz w:val="32"/>
          <w:szCs w:val="32"/>
        </w:rPr>
      </w:pPr>
      <w:bookmarkStart w:id="135" w:name="_Toc141713920"/>
      <w:bookmarkStart w:id="136" w:name="_Toc219880839"/>
      <w:r w:rsidRPr="007969E9">
        <w:rPr>
          <w:rFonts w:ascii="Arial" w:hAnsi="Arial" w:cs="Arial"/>
          <w:bCs/>
          <w:color w:val="098435"/>
          <w:sz w:val="32"/>
          <w:szCs w:val="32"/>
        </w:rPr>
        <w:t>FS 6 «Debt-for-Nature Swap in the Kyrgyz Republic»</w:t>
      </w:r>
      <w:bookmarkEnd w:id="135"/>
      <w:bookmarkEnd w:id="136"/>
    </w:p>
    <w:p w14:paraId="20C64773" w14:textId="4AB935B8" w:rsidR="009C17FB" w:rsidRDefault="009C17FB" w:rsidP="002511EB">
      <w:pPr>
        <w:jc w:val="both"/>
        <w:rPr>
          <w:rFonts w:ascii="Arial" w:hAnsi="Arial" w:cs="Arial"/>
        </w:rPr>
      </w:pPr>
      <w:r w:rsidRPr="009C17FB">
        <w:rPr>
          <w:rFonts w:ascii="Arial" w:hAnsi="Arial" w:cs="Arial"/>
        </w:rPr>
        <w:t>A debt-for-nature swap</w:t>
      </w:r>
      <w:r w:rsidR="00412E35">
        <w:rPr>
          <w:rFonts w:ascii="Arial" w:hAnsi="Arial" w:cs="Arial"/>
        </w:rPr>
        <w:t xml:space="preserve"> (DfNS)</w:t>
      </w:r>
      <w:r w:rsidRPr="009C17FB">
        <w:rPr>
          <w:rFonts w:ascii="Arial" w:hAnsi="Arial" w:cs="Arial"/>
        </w:rPr>
        <w:t xml:space="preserve"> presents an opportunity to increase funding for environmental activities without reducing </w:t>
      </w:r>
      <w:r w:rsidR="00755F78" w:rsidRPr="009C17FB">
        <w:rPr>
          <w:rFonts w:ascii="Arial" w:hAnsi="Arial" w:cs="Arial"/>
        </w:rPr>
        <w:t>expenditure</w:t>
      </w:r>
      <w:r w:rsidRPr="009C17FB">
        <w:rPr>
          <w:rFonts w:ascii="Arial" w:hAnsi="Arial" w:cs="Arial"/>
        </w:rPr>
        <w:t xml:space="preserve"> in other critical sectors.</w:t>
      </w:r>
    </w:p>
    <w:p w14:paraId="378B8123" w14:textId="6D1D6AFA" w:rsidR="00B74FA3" w:rsidRPr="007969E9" w:rsidRDefault="002511EB" w:rsidP="002511EB">
      <w:pPr>
        <w:jc w:val="both"/>
        <w:rPr>
          <w:rFonts w:ascii="Arial" w:hAnsi="Arial" w:cs="Arial"/>
        </w:rPr>
      </w:pPr>
      <w:r w:rsidRPr="007969E9">
        <w:rPr>
          <w:rFonts w:ascii="Arial" w:hAnsi="Arial" w:cs="Arial"/>
        </w:rPr>
        <w:t>The financial solution aims to</w:t>
      </w:r>
      <w:r w:rsidR="00F77879" w:rsidRPr="007969E9">
        <w:rPr>
          <w:rFonts w:ascii="Arial" w:hAnsi="Arial" w:cs="Arial"/>
        </w:rPr>
        <w:t xml:space="preserve"> </w:t>
      </w:r>
      <w:r w:rsidR="00381AE8">
        <w:rPr>
          <w:rFonts w:ascii="Arial" w:hAnsi="Arial" w:cs="Arial"/>
        </w:rPr>
        <w:t>guide</w:t>
      </w:r>
      <w:r w:rsidRPr="007969E9">
        <w:rPr>
          <w:rFonts w:ascii="Arial" w:hAnsi="Arial" w:cs="Arial"/>
        </w:rPr>
        <w:t xml:space="preserve"> the Government of Kyrgyzstan in implementing a debt-for-nature swap mechanism. Necessary analytical reports and technical notes will be provided, recommendations on how to implement and negotiate will be developed, a road map will be proposed, and the capacity of relevant staff will be enhanced</w:t>
      </w:r>
      <w:r w:rsidR="00D44B8E" w:rsidRPr="007969E9">
        <w:rPr>
          <w:rFonts w:ascii="Arial" w:hAnsi="Arial" w:cs="Arial"/>
        </w:rPr>
        <w:t>.</w:t>
      </w:r>
    </w:p>
    <w:p w14:paraId="42B63CCA" w14:textId="77777777" w:rsidR="002F633B" w:rsidRPr="007969E9" w:rsidRDefault="002F633B" w:rsidP="00843D8F">
      <w:pPr>
        <w:pStyle w:val="af8"/>
        <w:keepNext/>
        <w:numPr>
          <w:ilvl w:val="1"/>
          <w:numId w:val="9"/>
        </w:numPr>
        <w:spacing w:before="360" w:after="120" w:line="240" w:lineRule="auto"/>
        <w:contextualSpacing w:val="0"/>
        <w:outlineLvl w:val="2"/>
        <w:rPr>
          <w:rFonts w:ascii="Arial" w:hAnsi="Arial" w:cs="Arial"/>
          <w:bCs/>
          <w:vanish/>
          <w:sz w:val="28"/>
          <w:szCs w:val="28"/>
        </w:rPr>
      </w:pPr>
      <w:bookmarkStart w:id="137" w:name="_Toc157162771"/>
      <w:bookmarkStart w:id="138" w:name="_Toc157163586"/>
      <w:bookmarkStart w:id="139" w:name="_Toc157266737"/>
      <w:bookmarkStart w:id="140" w:name="_Toc157266916"/>
      <w:bookmarkStart w:id="141" w:name="_Toc172315227"/>
      <w:bookmarkStart w:id="142" w:name="_Toc172315261"/>
      <w:bookmarkStart w:id="143" w:name="_Toc172315654"/>
      <w:bookmarkStart w:id="144" w:name="_Toc172317717"/>
      <w:bookmarkStart w:id="145" w:name="_Toc186229624"/>
      <w:bookmarkStart w:id="146" w:name="_Toc186230954"/>
      <w:bookmarkStart w:id="147" w:name="_Toc186231003"/>
      <w:bookmarkStart w:id="148" w:name="_Toc203660842"/>
      <w:bookmarkStart w:id="149" w:name="_Toc203669842"/>
      <w:bookmarkStart w:id="150" w:name="_Toc203671281"/>
      <w:bookmarkStart w:id="151" w:name="_Toc203684679"/>
      <w:bookmarkStart w:id="152" w:name="_Toc141713921"/>
      <w:bookmarkStart w:id="153" w:name="_Toc219874291"/>
      <w:bookmarkStart w:id="154" w:name="_Toc219875496"/>
      <w:bookmarkStart w:id="155" w:name="_Toc219880764"/>
      <w:bookmarkStart w:id="156" w:name="_Toc219880840"/>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3"/>
      <w:bookmarkEnd w:id="154"/>
      <w:bookmarkEnd w:id="155"/>
      <w:bookmarkEnd w:id="156"/>
    </w:p>
    <w:p w14:paraId="53BB2500" w14:textId="110B0EC2" w:rsidR="00211BEC" w:rsidRPr="007969E9" w:rsidRDefault="002511EB" w:rsidP="00843D8F">
      <w:pPr>
        <w:keepNext/>
        <w:numPr>
          <w:ilvl w:val="2"/>
          <w:numId w:val="9"/>
        </w:numPr>
        <w:spacing w:before="360" w:after="120" w:line="240" w:lineRule="auto"/>
        <w:ind w:left="504"/>
        <w:outlineLvl w:val="2"/>
        <w:rPr>
          <w:rFonts w:ascii="Arial" w:hAnsi="Arial" w:cs="Arial"/>
          <w:bCs/>
          <w:sz w:val="28"/>
          <w:szCs w:val="28"/>
        </w:rPr>
      </w:pPr>
      <w:bookmarkStart w:id="157" w:name="_Hlk172315385"/>
      <w:bookmarkStart w:id="158" w:name="_Toc219880841"/>
      <w:r w:rsidRPr="007969E9">
        <w:rPr>
          <w:rFonts w:ascii="Arial" w:hAnsi="Arial" w:cs="Arial"/>
          <w:bCs/>
          <w:sz w:val="28"/>
          <w:szCs w:val="28"/>
        </w:rPr>
        <w:t>Activities and results related to output areas</w:t>
      </w:r>
      <w:bookmarkEnd w:id="152"/>
      <w:bookmarkEnd w:id="158"/>
      <w:r w:rsidRPr="007969E9">
        <w:rPr>
          <w:rFonts w:ascii="Arial" w:hAnsi="Arial" w:cs="Arial"/>
          <w:bCs/>
          <w:sz w:val="28"/>
          <w:szCs w:val="28"/>
        </w:rPr>
        <w:t xml:space="preserve"> </w:t>
      </w:r>
    </w:p>
    <w:bookmarkEnd w:id="157"/>
    <w:p w14:paraId="6D040BEC" w14:textId="77777777" w:rsidR="002511EB" w:rsidRPr="007969E9" w:rsidRDefault="002511EB" w:rsidP="002511EB">
      <w:pPr>
        <w:jc w:val="both"/>
        <w:rPr>
          <w:rFonts w:ascii="Arial" w:hAnsi="Arial" w:cs="Arial"/>
        </w:rPr>
      </w:pPr>
      <w:r w:rsidRPr="007969E9">
        <w:rPr>
          <w:rFonts w:ascii="Arial" w:hAnsi="Arial" w:cs="Arial"/>
        </w:rPr>
        <w:t>The key partner in the implementation is the Ministry of Finance</w:t>
      </w:r>
    </w:p>
    <w:p w14:paraId="1F7C157B" w14:textId="77777777" w:rsidR="009A5551" w:rsidRDefault="006B2FD1" w:rsidP="002511EB">
      <w:pPr>
        <w:jc w:val="both"/>
        <w:rPr>
          <w:rFonts w:ascii="Arial" w:hAnsi="Arial" w:cs="Arial"/>
        </w:rPr>
      </w:pPr>
      <w:r w:rsidRPr="006B2FD1">
        <w:rPr>
          <w:rFonts w:ascii="Arial" w:hAnsi="Arial" w:cs="Arial"/>
        </w:rPr>
        <w:t>Based on the conclusions of the DfNS feasibility study</w:t>
      </w:r>
      <w:r w:rsidR="007B10D4">
        <w:rPr>
          <w:rFonts w:ascii="Arial" w:hAnsi="Arial" w:cs="Arial"/>
        </w:rPr>
        <w:t xml:space="preserve"> </w:t>
      </w:r>
      <w:r w:rsidR="005023E7">
        <w:rPr>
          <w:rFonts w:ascii="Arial" w:hAnsi="Arial" w:cs="Arial"/>
        </w:rPr>
        <w:t>conducted</w:t>
      </w:r>
      <w:r w:rsidR="007B10D4">
        <w:rPr>
          <w:rFonts w:ascii="Arial" w:hAnsi="Arial" w:cs="Arial"/>
        </w:rPr>
        <w:t xml:space="preserve"> in the previous reporting periods</w:t>
      </w:r>
      <w:r w:rsidRPr="006B2FD1">
        <w:rPr>
          <w:rFonts w:ascii="Arial" w:hAnsi="Arial" w:cs="Arial"/>
        </w:rPr>
        <w:t>, Germany</w:t>
      </w:r>
      <w:r w:rsidR="004D6D5C">
        <w:rPr>
          <w:rFonts w:ascii="Arial" w:hAnsi="Arial" w:cs="Arial"/>
        </w:rPr>
        <w:t xml:space="preserve"> was identified</w:t>
      </w:r>
      <w:r w:rsidRPr="006B2FD1">
        <w:rPr>
          <w:rFonts w:ascii="Arial" w:hAnsi="Arial" w:cs="Arial"/>
        </w:rPr>
        <w:t xml:space="preserve"> as one of the creditors most likely to engage in DfNS, the Kyrgyz Government has been actively advancing efforts to establish a DfNS agreement with Germany. </w:t>
      </w:r>
      <w:r w:rsidR="00182F10" w:rsidRPr="00182F10">
        <w:rPr>
          <w:rFonts w:ascii="Arial" w:hAnsi="Arial" w:cs="Arial"/>
        </w:rPr>
        <w:t>In May 2024, UNDP organized consultations with the</w:t>
      </w:r>
      <w:r w:rsidR="00182F10">
        <w:rPr>
          <w:rFonts w:ascii="Arial" w:hAnsi="Arial" w:cs="Arial"/>
        </w:rPr>
        <w:t xml:space="preserve"> UNDP</w:t>
      </w:r>
      <w:r w:rsidR="00182F10" w:rsidRPr="00182F10">
        <w:rPr>
          <w:rFonts w:ascii="Arial" w:hAnsi="Arial" w:cs="Arial"/>
        </w:rPr>
        <w:t xml:space="preserve"> German Representation Office (GRO), presenting a concept note on the Conservation Trust Fund (CTF) and briefing materials on Germany's DfNS mechanisms. While GRO expressed a willingness to facilitate connections between Kyrgyzstan and key stakeholders at BMZ (Germany's operational body for DfNS) and to support preliminary discussions, </w:t>
      </w:r>
      <w:r w:rsidR="009A5551" w:rsidRPr="009A5551">
        <w:rPr>
          <w:rFonts w:ascii="Arial" w:hAnsi="Arial" w:cs="Arial"/>
        </w:rPr>
        <w:t>these efforts have not yet yielded concrete results.</w:t>
      </w:r>
    </w:p>
    <w:p w14:paraId="0358813C" w14:textId="37A71276" w:rsidR="00CC2709" w:rsidRDefault="00CC2709" w:rsidP="002511EB">
      <w:pPr>
        <w:jc w:val="both"/>
        <w:rPr>
          <w:rFonts w:ascii="Arial" w:hAnsi="Arial" w:cs="Arial"/>
        </w:rPr>
      </w:pPr>
      <w:r w:rsidRPr="00CC2709">
        <w:rPr>
          <w:rFonts w:ascii="Arial" w:hAnsi="Arial" w:cs="Arial"/>
        </w:rPr>
        <w:t xml:space="preserve">Furthermore, </w:t>
      </w:r>
      <w:r w:rsidR="00A142D8">
        <w:rPr>
          <w:rFonts w:ascii="Arial" w:hAnsi="Arial" w:cs="Arial"/>
        </w:rPr>
        <w:t>BIOFIN</w:t>
      </w:r>
      <w:r w:rsidRPr="00CC2709">
        <w:rPr>
          <w:rFonts w:ascii="Arial" w:hAnsi="Arial" w:cs="Arial"/>
        </w:rPr>
        <w:t xml:space="preserve"> developed comprehensive briefing notes and analyses regarding Kyrgyzstan's debt with Germany to guide discussions between UNDP Headquarters and the German government during a planned visit. However, the visit and subsequent negotiations did not take place.</w:t>
      </w:r>
    </w:p>
    <w:p w14:paraId="06109EAC" w14:textId="15998465" w:rsidR="00E114BD" w:rsidRPr="007969E9" w:rsidRDefault="000F659D" w:rsidP="002511EB">
      <w:pPr>
        <w:jc w:val="both"/>
        <w:rPr>
          <w:rFonts w:ascii="Arial" w:hAnsi="Arial" w:cs="Arial"/>
        </w:rPr>
      </w:pPr>
      <w:r w:rsidRPr="000F659D">
        <w:rPr>
          <w:rFonts w:ascii="Arial" w:hAnsi="Arial" w:cs="Arial"/>
        </w:rPr>
        <w:t xml:space="preserve">Further advancement of the DfNS agenda will </w:t>
      </w:r>
      <w:r w:rsidR="00D968E3">
        <w:rPr>
          <w:rFonts w:ascii="Arial" w:hAnsi="Arial" w:cs="Arial"/>
        </w:rPr>
        <w:t>resume</w:t>
      </w:r>
      <w:r w:rsidRPr="000F659D">
        <w:rPr>
          <w:rFonts w:ascii="Arial" w:hAnsi="Arial" w:cs="Arial"/>
        </w:rPr>
        <w:t xml:space="preserve"> once the Conservation Trust Fund is fully operationalized. </w:t>
      </w:r>
      <w:r w:rsidR="009119A7" w:rsidRPr="009119A7">
        <w:rPr>
          <w:rFonts w:ascii="Arial" w:hAnsi="Arial" w:cs="Arial"/>
        </w:rPr>
        <w:t>Experience from DfNS arrangements in other countries demonstrates that creditors typically require a credible and independent implementation entity capable of ensuring transparent, accountable, and results-oriented management of financial proceeds.</w:t>
      </w:r>
      <w:r w:rsidR="009119A7">
        <w:rPr>
          <w:rFonts w:ascii="Arial" w:hAnsi="Arial" w:cs="Arial"/>
        </w:rPr>
        <w:t xml:space="preserve"> </w:t>
      </w:r>
      <w:r w:rsidRPr="000F659D">
        <w:rPr>
          <w:rFonts w:ascii="Arial" w:hAnsi="Arial" w:cs="Arial"/>
        </w:rPr>
        <w:t xml:space="preserve">CTF </w:t>
      </w:r>
      <w:r w:rsidR="00637E6F">
        <w:rPr>
          <w:rFonts w:ascii="Arial" w:hAnsi="Arial" w:cs="Arial"/>
        </w:rPr>
        <w:t xml:space="preserve">can potentially </w:t>
      </w:r>
      <w:r w:rsidRPr="000F659D">
        <w:rPr>
          <w:rFonts w:ascii="Arial" w:hAnsi="Arial" w:cs="Arial"/>
        </w:rPr>
        <w:t xml:space="preserve">serve as a transparent and accountable financial mechanism to channel and manage funds resulting from a potential debt swap. </w:t>
      </w:r>
    </w:p>
    <w:p w14:paraId="1ED3F823" w14:textId="36C97B62" w:rsidR="00AB622D" w:rsidRPr="007969E9" w:rsidRDefault="00B74FA3" w:rsidP="00843D8F">
      <w:pPr>
        <w:keepNext/>
        <w:numPr>
          <w:ilvl w:val="1"/>
          <w:numId w:val="6"/>
        </w:numPr>
        <w:tabs>
          <w:tab w:val="num" w:pos="360"/>
        </w:tabs>
        <w:spacing w:before="360" w:after="120" w:line="240" w:lineRule="auto"/>
        <w:ind w:left="709" w:hanging="709"/>
        <w:outlineLvl w:val="1"/>
        <w:rPr>
          <w:rFonts w:ascii="Arial" w:hAnsi="Arial" w:cs="Arial"/>
          <w:bCs/>
          <w:color w:val="098435"/>
          <w:sz w:val="32"/>
          <w:szCs w:val="32"/>
        </w:rPr>
      </w:pPr>
      <w:bookmarkStart w:id="159" w:name="_Hlk157264911"/>
      <w:bookmarkStart w:id="160" w:name="_Hlk172216169"/>
      <w:bookmarkStart w:id="161" w:name="_Toc219880842"/>
      <w:r w:rsidRPr="007969E9">
        <w:rPr>
          <w:rFonts w:ascii="Arial" w:hAnsi="Arial" w:cs="Arial"/>
          <w:bCs/>
          <w:color w:val="098435"/>
          <w:sz w:val="32"/>
          <w:szCs w:val="32"/>
        </w:rPr>
        <w:lastRenderedPageBreak/>
        <w:t>FS</w:t>
      </w:r>
      <w:r w:rsidR="00AB622D" w:rsidRPr="007969E9">
        <w:rPr>
          <w:rFonts w:ascii="Arial" w:hAnsi="Arial" w:cs="Arial"/>
          <w:bCs/>
          <w:color w:val="098435"/>
          <w:sz w:val="32"/>
          <w:szCs w:val="32"/>
        </w:rPr>
        <w:t xml:space="preserve"> 7</w:t>
      </w:r>
      <w:r w:rsidR="009F0537" w:rsidRPr="007969E9">
        <w:rPr>
          <w:rFonts w:ascii="Arial" w:hAnsi="Arial" w:cs="Arial"/>
          <w:bCs/>
          <w:color w:val="098435"/>
          <w:sz w:val="32"/>
          <w:szCs w:val="32"/>
        </w:rPr>
        <w:t xml:space="preserve"> “</w:t>
      </w:r>
      <w:r w:rsidR="00AB622D" w:rsidRPr="007969E9">
        <w:rPr>
          <w:rFonts w:ascii="Arial" w:hAnsi="Arial" w:cs="Arial"/>
          <w:bCs/>
          <w:color w:val="098435"/>
          <w:sz w:val="32"/>
          <w:szCs w:val="32"/>
        </w:rPr>
        <w:t>Introduction of an effective system of financial self-sufficiency in protected areas (PAs)</w:t>
      </w:r>
      <w:bookmarkEnd w:id="161"/>
    </w:p>
    <w:bookmarkEnd w:id="159"/>
    <w:p w14:paraId="026E7C9C" w14:textId="73B1E8A3" w:rsidR="009E45E1" w:rsidRDefault="009E45E1" w:rsidP="00AB622D">
      <w:pPr>
        <w:jc w:val="both"/>
        <w:rPr>
          <w:rFonts w:ascii="Arial" w:hAnsi="Arial" w:cs="Arial"/>
        </w:rPr>
      </w:pPr>
      <w:r w:rsidRPr="009E45E1">
        <w:rPr>
          <w:rFonts w:ascii="Arial" w:hAnsi="Arial" w:cs="Arial"/>
        </w:rPr>
        <w:t>This financial solution</w:t>
      </w:r>
      <w:r w:rsidR="00092F4D">
        <w:rPr>
          <w:rFonts w:ascii="Arial" w:hAnsi="Arial" w:cs="Arial"/>
        </w:rPr>
        <w:t xml:space="preserve"> </w:t>
      </w:r>
      <w:r w:rsidRPr="009E45E1">
        <w:rPr>
          <w:rFonts w:ascii="Arial" w:hAnsi="Arial" w:cs="Arial"/>
        </w:rPr>
        <w:t>responds to the pressing need for alternative financing mechanisms for biodiversity conservation in Kyrgyzstan. Given the limited prospects for increased biodiversity financing from the state budget in the near future, the development of reliable and credible mechanisms to mobilize additional resources beyond the national budget is essential.</w:t>
      </w:r>
    </w:p>
    <w:p w14:paraId="55F680DE" w14:textId="57EFF7B7" w:rsidR="00AB622D" w:rsidRPr="007969E9" w:rsidRDefault="00AB622D" w:rsidP="00AB622D">
      <w:pPr>
        <w:jc w:val="both"/>
        <w:rPr>
          <w:rFonts w:ascii="Arial" w:hAnsi="Arial" w:cs="Arial"/>
        </w:rPr>
      </w:pPr>
      <w:r w:rsidRPr="007969E9">
        <w:rPr>
          <w:rFonts w:ascii="Arial" w:hAnsi="Arial" w:cs="Arial"/>
        </w:rPr>
        <w:t xml:space="preserve">The Financial Solution aims </w:t>
      </w:r>
      <w:r w:rsidR="0010427C" w:rsidRPr="0010427C">
        <w:rPr>
          <w:rFonts w:ascii="Arial" w:hAnsi="Arial" w:cs="Arial"/>
        </w:rPr>
        <w:t>to provide the necessary foundation</w:t>
      </w:r>
      <w:r w:rsidR="0010427C">
        <w:rPr>
          <w:rFonts w:ascii="Arial" w:hAnsi="Arial" w:cs="Arial"/>
        </w:rPr>
        <w:t xml:space="preserve"> </w:t>
      </w:r>
      <w:r w:rsidRPr="007969E9">
        <w:rPr>
          <w:rFonts w:ascii="Arial" w:hAnsi="Arial" w:cs="Arial"/>
        </w:rPr>
        <w:t xml:space="preserve">for planning the necessary institutional changes (organizational and regulatory) to implement new mechanisms of income generation: adoption of public and private partnership mechanism to PA needs, inclusion of some PA services to the list of paid public services (this will allow charging fees from PA service consumers), set up profitable and balanced entrance fee pricing scheme (-s), payment for ecosystem services, concessions, earmarking and retention of biodiversity revenues, corporative social responsibility, philanthropy, promotion of conservation themed items, and others from the BIOFIN financial solutions catalogue. </w:t>
      </w:r>
      <w:r w:rsidR="00BE694E" w:rsidRPr="00BE694E">
        <w:rPr>
          <w:rFonts w:ascii="Arial" w:hAnsi="Arial" w:cs="Arial"/>
        </w:rPr>
        <w:t>By implementing this financial solution, the enabling conditions for enhanced financial sustainability and long-term viability of biodiversity conservation action plans will be established</w:t>
      </w:r>
      <w:r w:rsidR="00BE694E">
        <w:rPr>
          <w:rFonts w:ascii="Arial" w:hAnsi="Arial" w:cs="Arial"/>
        </w:rPr>
        <w:t>.</w:t>
      </w:r>
    </w:p>
    <w:p w14:paraId="30A62085" w14:textId="77777777" w:rsidR="00C24CEC" w:rsidRPr="007969E9" w:rsidRDefault="00C24CEC" w:rsidP="00843D8F">
      <w:pPr>
        <w:pStyle w:val="af8"/>
        <w:keepNext/>
        <w:numPr>
          <w:ilvl w:val="1"/>
          <w:numId w:val="9"/>
        </w:numPr>
        <w:spacing w:before="360" w:after="120" w:line="240" w:lineRule="auto"/>
        <w:contextualSpacing w:val="0"/>
        <w:outlineLvl w:val="2"/>
        <w:rPr>
          <w:rFonts w:ascii="Arial" w:hAnsi="Arial" w:cs="Arial"/>
          <w:bCs/>
          <w:vanish/>
          <w:sz w:val="28"/>
          <w:szCs w:val="28"/>
        </w:rPr>
      </w:pPr>
      <w:bookmarkStart w:id="162" w:name="_Toc172315657"/>
      <w:bookmarkStart w:id="163" w:name="_Toc172317720"/>
      <w:bookmarkStart w:id="164" w:name="_Toc186229627"/>
      <w:bookmarkStart w:id="165" w:name="_Toc186230957"/>
      <w:bookmarkStart w:id="166" w:name="_Toc186231006"/>
      <w:bookmarkStart w:id="167" w:name="_Toc203660845"/>
      <w:bookmarkStart w:id="168" w:name="_Toc203669845"/>
      <w:bookmarkStart w:id="169" w:name="_Toc203671284"/>
      <w:bookmarkStart w:id="170" w:name="_Toc203684682"/>
      <w:bookmarkStart w:id="171" w:name="_Hlk172315516"/>
      <w:bookmarkStart w:id="172" w:name="_Toc219874294"/>
      <w:bookmarkStart w:id="173" w:name="_Toc219875499"/>
      <w:bookmarkStart w:id="174" w:name="_Toc219880767"/>
      <w:bookmarkStart w:id="175" w:name="_Toc219880843"/>
      <w:bookmarkEnd w:id="162"/>
      <w:bookmarkEnd w:id="163"/>
      <w:bookmarkEnd w:id="164"/>
      <w:bookmarkEnd w:id="165"/>
      <w:bookmarkEnd w:id="166"/>
      <w:bookmarkEnd w:id="167"/>
      <w:bookmarkEnd w:id="168"/>
      <w:bookmarkEnd w:id="169"/>
      <w:bookmarkEnd w:id="170"/>
      <w:bookmarkEnd w:id="172"/>
      <w:bookmarkEnd w:id="173"/>
      <w:bookmarkEnd w:id="174"/>
      <w:bookmarkEnd w:id="175"/>
    </w:p>
    <w:p w14:paraId="6060F760" w14:textId="2E3B367D" w:rsidR="00AE733B" w:rsidRPr="007969E9" w:rsidRDefault="00AE733B" w:rsidP="00843D8F">
      <w:pPr>
        <w:keepNext/>
        <w:numPr>
          <w:ilvl w:val="2"/>
          <w:numId w:val="9"/>
        </w:numPr>
        <w:spacing w:before="360" w:after="120" w:line="240" w:lineRule="auto"/>
        <w:ind w:left="504"/>
        <w:outlineLvl w:val="2"/>
        <w:rPr>
          <w:rFonts w:ascii="Arial" w:hAnsi="Arial" w:cs="Arial"/>
          <w:bCs/>
          <w:sz w:val="28"/>
          <w:szCs w:val="28"/>
        </w:rPr>
      </w:pPr>
      <w:bookmarkStart w:id="176" w:name="_Toc219880844"/>
      <w:r w:rsidRPr="007969E9">
        <w:rPr>
          <w:rFonts w:ascii="Arial" w:hAnsi="Arial" w:cs="Arial"/>
          <w:bCs/>
          <w:sz w:val="28"/>
          <w:szCs w:val="28"/>
        </w:rPr>
        <w:t>Activities and results related to output areas</w:t>
      </w:r>
      <w:bookmarkEnd w:id="176"/>
      <w:r w:rsidRPr="007969E9">
        <w:rPr>
          <w:rFonts w:ascii="Arial" w:hAnsi="Arial" w:cs="Arial"/>
          <w:bCs/>
          <w:sz w:val="28"/>
          <w:szCs w:val="28"/>
        </w:rPr>
        <w:t xml:space="preserve"> </w:t>
      </w:r>
    </w:p>
    <w:bookmarkEnd w:id="160"/>
    <w:bookmarkEnd w:id="171"/>
    <w:p w14:paraId="02159D40" w14:textId="153D9399" w:rsidR="008F1887" w:rsidRPr="008F1887" w:rsidRDefault="008F1887" w:rsidP="008F1887">
      <w:pPr>
        <w:jc w:val="both"/>
        <w:rPr>
          <w:rFonts w:ascii="Arial" w:hAnsi="Arial" w:cs="Arial"/>
        </w:rPr>
      </w:pPr>
      <w:r w:rsidRPr="008F1887">
        <w:rPr>
          <w:rFonts w:ascii="Arial" w:hAnsi="Arial" w:cs="Arial"/>
        </w:rPr>
        <w:t>The Ministry of Natural Resources, Ecology, and Technical Supervision has been identified as the key partner in implementing this initiative.</w:t>
      </w:r>
    </w:p>
    <w:p w14:paraId="702BA634" w14:textId="27CEA9CE" w:rsidR="008F1887" w:rsidRDefault="008F1887" w:rsidP="008F1887">
      <w:pPr>
        <w:jc w:val="both"/>
        <w:rPr>
          <w:rFonts w:ascii="Arial" w:hAnsi="Arial" w:cs="Arial"/>
        </w:rPr>
      </w:pPr>
      <w:r w:rsidRPr="008F1887">
        <w:rPr>
          <w:rFonts w:ascii="Arial" w:hAnsi="Arial" w:cs="Arial"/>
        </w:rPr>
        <w:t xml:space="preserve">During the </w:t>
      </w:r>
      <w:r w:rsidR="00216942">
        <w:rPr>
          <w:rFonts w:ascii="Arial" w:hAnsi="Arial" w:cs="Arial"/>
        </w:rPr>
        <w:t xml:space="preserve">previous </w:t>
      </w:r>
      <w:r w:rsidRPr="008F1887">
        <w:rPr>
          <w:rFonts w:ascii="Arial" w:hAnsi="Arial" w:cs="Arial"/>
        </w:rPr>
        <w:t xml:space="preserve">reporting period, </w:t>
      </w:r>
      <w:r w:rsidR="00627B12">
        <w:rPr>
          <w:rFonts w:ascii="Arial" w:hAnsi="Arial" w:cs="Arial"/>
        </w:rPr>
        <w:t>the</w:t>
      </w:r>
      <w:r w:rsidR="005E295C">
        <w:rPr>
          <w:rFonts w:ascii="Arial" w:hAnsi="Arial" w:cs="Arial"/>
        </w:rPr>
        <w:t xml:space="preserve"> </w:t>
      </w:r>
      <w:r w:rsidR="005E295C" w:rsidRPr="005E295C">
        <w:rPr>
          <w:rFonts w:ascii="Arial" w:hAnsi="Arial" w:cs="Arial"/>
        </w:rPr>
        <w:t>feasibility study led to the development of a proposal outlining six viable options for income generation within Protected Areas (PAs). The proposed options included:</w:t>
      </w:r>
    </w:p>
    <w:p w14:paraId="42C50E10" w14:textId="77777777" w:rsidR="00AC1E0F" w:rsidRPr="00AC1E0F" w:rsidRDefault="00AC1E0F" w:rsidP="00AC1E0F">
      <w:pPr>
        <w:pStyle w:val="af8"/>
        <w:numPr>
          <w:ilvl w:val="0"/>
          <w:numId w:val="27"/>
        </w:numPr>
        <w:jc w:val="both"/>
        <w:rPr>
          <w:rFonts w:ascii="Arial" w:hAnsi="Arial" w:cs="Arial"/>
        </w:rPr>
      </w:pPr>
      <w:r w:rsidRPr="00AC1E0F">
        <w:rPr>
          <w:rFonts w:ascii="Arial" w:hAnsi="Arial" w:cs="Arial"/>
        </w:rPr>
        <w:t>Adjusting entrance fees to PAs and offering additional services to tourists.</w:t>
      </w:r>
    </w:p>
    <w:p w14:paraId="1CB965FD" w14:textId="77777777" w:rsidR="00AC1E0F" w:rsidRPr="00AC1E0F" w:rsidRDefault="00AC1E0F" w:rsidP="00AC1E0F">
      <w:pPr>
        <w:pStyle w:val="af8"/>
        <w:numPr>
          <w:ilvl w:val="0"/>
          <w:numId w:val="27"/>
        </w:numPr>
        <w:jc w:val="both"/>
        <w:rPr>
          <w:rFonts w:ascii="Arial" w:hAnsi="Arial" w:cs="Arial"/>
        </w:rPr>
      </w:pPr>
      <w:r w:rsidRPr="00AC1E0F">
        <w:rPr>
          <w:rFonts w:ascii="Arial" w:hAnsi="Arial" w:cs="Arial"/>
        </w:rPr>
        <w:t>Generating income from permitted economic activities.</w:t>
      </w:r>
    </w:p>
    <w:p w14:paraId="0F8A5D26" w14:textId="77777777" w:rsidR="00AC1E0F" w:rsidRPr="00AC1E0F" w:rsidRDefault="00AC1E0F" w:rsidP="00AC1E0F">
      <w:pPr>
        <w:pStyle w:val="af8"/>
        <w:numPr>
          <w:ilvl w:val="0"/>
          <w:numId w:val="27"/>
        </w:numPr>
        <w:jc w:val="both"/>
        <w:rPr>
          <w:rFonts w:ascii="Arial" w:hAnsi="Arial" w:cs="Arial"/>
        </w:rPr>
      </w:pPr>
      <w:r w:rsidRPr="00AC1E0F">
        <w:rPr>
          <w:rFonts w:ascii="Arial" w:hAnsi="Arial" w:cs="Arial"/>
        </w:rPr>
        <w:t>Strengthening cooperation with NGOs and development partners.</w:t>
      </w:r>
    </w:p>
    <w:p w14:paraId="4A244429" w14:textId="7564D16C" w:rsidR="00AC1E0F" w:rsidRPr="00AC1E0F" w:rsidRDefault="00AC1E0F" w:rsidP="00AC1E0F">
      <w:pPr>
        <w:pStyle w:val="af8"/>
        <w:numPr>
          <w:ilvl w:val="0"/>
          <w:numId w:val="27"/>
        </w:numPr>
        <w:jc w:val="both"/>
        <w:rPr>
          <w:rFonts w:ascii="Arial" w:hAnsi="Arial" w:cs="Arial"/>
        </w:rPr>
      </w:pPr>
      <w:r w:rsidRPr="00AC1E0F">
        <w:rPr>
          <w:rFonts w:ascii="Arial" w:hAnsi="Arial" w:cs="Arial"/>
        </w:rPr>
        <w:t>Streamlining land lease revenue</w:t>
      </w:r>
      <w:r w:rsidR="00BB6E32">
        <w:rPr>
          <w:rFonts w:ascii="Arial" w:hAnsi="Arial" w:cs="Arial"/>
        </w:rPr>
        <w:t xml:space="preserve"> allocation</w:t>
      </w:r>
      <w:r w:rsidR="00380538" w:rsidRPr="00380538">
        <w:rPr>
          <w:rFonts w:ascii="Arial" w:hAnsi="Arial" w:cs="Arial"/>
        </w:rPr>
        <w:t xml:space="preserve"> </w:t>
      </w:r>
      <w:r w:rsidR="00380538">
        <w:rPr>
          <w:rFonts w:ascii="Arial" w:hAnsi="Arial" w:cs="Arial"/>
        </w:rPr>
        <w:t>into special accounts</w:t>
      </w:r>
      <w:r w:rsidRPr="00AC1E0F">
        <w:rPr>
          <w:rFonts w:ascii="Arial" w:hAnsi="Arial" w:cs="Arial"/>
        </w:rPr>
        <w:t>, including necessary legislative amendments.</w:t>
      </w:r>
    </w:p>
    <w:p w14:paraId="6C57AC10" w14:textId="77777777" w:rsidR="00AC1E0F" w:rsidRPr="00AC1E0F" w:rsidRDefault="00AC1E0F" w:rsidP="00AC1E0F">
      <w:pPr>
        <w:pStyle w:val="af8"/>
        <w:numPr>
          <w:ilvl w:val="0"/>
          <w:numId w:val="27"/>
        </w:numPr>
        <w:jc w:val="both"/>
        <w:rPr>
          <w:rFonts w:ascii="Arial" w:hAnsi="Arial" w:cs="Arial"/>
        </w:rPr>
      </w:pPr>
      <w:r w:rsidRPr="00AC1E0F">
        <w:rPr>
          <w:rFonts w:ascii="Arial" w:hAnsi="Arial" w:cs="Arial"/>
        </w:rPr>
        <w:t>Accessing financing from regional development funds.</w:t>
      </w:r>
    </w:p>
    <w:p w14:paraId="1882E808" w14:textId="77777777" w:rsidR="00AC1E0F" w:rsidRPr="00AC1E0F" w:rsidRDefault="00AC1E0F" w:rsidP="00AC1E0F">
      <w:pPr>
        <w:pStyle w:val="af8"/>
        <w:numPr>
          <w:ilvl w:val="0"/>
          <w:numId w:val="27"/>
        </w:numPr>
        <w:jc w:val="both"/>
        <w:rPr>
          <w:rFonts w:ascii="Arial" w:hAnsi="Arial" w:cs="Arial"/>
        </w:rPr>
      </w:pPr>
      <w:r w:rsidRPr="00AC1E0F">
        <w:rPr>
          <w:rFonts w:ascii="Arial" w:hAnsi="Arial" w:cs="Arial"/>
        </w:rPr>
        <w:t>Supporting PA-related initiatives, such as selling thematic merchandise, branded products, "adoption certificates," and crowdfunding campaigns.</w:t>
      </w:r>
    </w:p>
    <w:p w14:paraId="7A924BE2" w14:textId="4DEF2065" w:rsidR="00A122CF" w:rsidRPr="00A122CF" w:rsidRDefault="0018081A" w:rsidP="00A122CF">
      <w:pPr>
        <w:jc w:val="both"/>
        <w:rPr>
          <w:rFonts w:ascii="Arial" w:hAnsi="Arial" w:cs="Arial"/>
        </w:rPr>
      </w:pPr>
      <w:r w:rsidRPr="0018081A">
        <w:rPr>
          <w:rFonts w:ascii="Arial" w:hAnsi="Arial" w:cs="Arial"/>
        </w:rPr>
        <w:t>Following a series of discussions, the Department of Biodiversity and Protected Areas Conservation (DBPCA) endorsed three priority options for further development:</w:t>
      </w:r>
    </w:p>
    <w:p w14:paraId="5976143D" w14:textId="1BAB8238" w:rsidR="00A122CF" w:rsidRPr="00A122CF" w:rsidRDefault="00A122CF" w:rsidP="00A122CF">
      <w:pPr>
        <w:pStyle w:val="af8"/>
        <w:numPr>
          <w:ilvl w:val="0"/>
          <w:numId w:val="28"/>
        </w:numPr>
        <w:jc w:val="both"/>
        <w:rPr>
          <w:rFonts w:ascii="Arial" w:hAnsi="Arial" w:cs="Arial"/>
        </w:rPr>
      </w:pPr>
      <w:r w:rsidRPr="00A122CF">
        <w:rPr>
          <w:rFonts w:ascii="Arial" w:hAnsi="Arial" w:cs="Arial"/>
        </w:rPr>
        <w:t xml:space="preserve">Adjusting entrance fees </w:t>
      </w:r>
      <w:r w:rsidR="00F15EB6">
        <w:rPr>
          <w:rFonts w:ascii="Arial" w:hAnsi="Arial" w:cs="Arial"/>
        </w:rPr>
        <w:t>to Protected areas and Forest enterprises</w:t>
      </w:r>
      <w:r w:rsidRPr="00A122CF">
        <w:rPr>
          <w:rFonts w:ascii="Arial" w:hAnsi="Arial" w:cs="Arial"/>
        </w:rPr>
        <w:t>.</w:t>
      </w:r>
    </w:p>
    <w:p w14:paraId="21F33ACF" w14:textId="7FCC1CA5" w:rsidR="00A122CF" w:rsidRPr="00A122CF" w:rsidRDefault="00A122CF" w:rsidP="00A122CF">
      <w:pPr>
        <w:pStyle w:val="af8"/>
        <w:numPr>
          <w:ilvl w:val="0"/>
          <w:numId w:val="28"/>
        </w:numPr>
        <w:jc w:val="both"/>
        <w:rPr>
          <w:rFonts w:ascii="Arial" w:hAnsi="Arial" w:cs="Arial"/>
        </w:rPr>
      </w:pPr>
      <w:r w:rsidRPr="00A122CF">
        <w:rPr>
          <w:rFonts w:ascii="Arial" w:hAnsi="Arial" w:cs="Arial"/>
        </w:rPr>
        <w:t>Streamlining land lease revenues</w:t>
      </w:r>
      <w:r w:rsidR="00BB6E32">
        <w:rPr>
          <w:rFonts w:ascii="Arial" w:hAnsi="Arial" w:cs="Arial"/>
        </w:rPr>
        <w:t xml:space="preserve"> allocation into special accounts</w:t>
      </w:r>
      <w:r w:rsidRPr="00A122CF">
        <w:rPr>
          <w:rFonts w:ascii="Arial" w:hAnsi="Arial" w:cs="Arial"/>
        </w:rPr>
        <w:t>, including legislative adjustments.</w:t>
      </w:r>
    </w:p>
    <w:p w14:paraId="34C5D0F6" w14:textId="29104CC7" w:rsidR="00F56ACA" w:rsidRPr="005D09D9" w:rsidRDefault="00A122CF" w:rsidP="00F56ACA">
      <w:pPr>
        <w:pStyle w:val="af8"/>
        <w:numPr>
          <w:ilvl w:val="0"/>
          <w:numId w:val="28"/>
        </w:numPr>
        <w:jc w:val="both"/>
        <w:rPr>
          <w:rFonts w:ascii="Arial" w:hAnsi="Arial" w:cs="Arial"/>
        </w:rPr>
      </w:pPr>
      <w:r w:rsidRPr="00A122CF">
        <w:rPr>
          <w:rFonts w:ascii="Arial" w:hAnsi="Arial" w:cs="Arial"/>
        </w:rPr>
        <w:t>Accessing financing from regional development funds.</w:t>
      </w:r>
    </w:p>
    <w:p w14:paraId="59BE3774" w14:textId="1FE26FB2" w:rsidR="009744BE" w:rsidRPr="009744BE" w:rsidRDefault="009744BE" w:rsidP="009744BE">
      <w:pPr>
        <w:jc w:val="both"/>
        <w:rPr>
          <w:rFonts w:ascii="Arial" w:hAnsi="Arial" w:cs="Arial"/>
          <w:b/>
          <w:bCs/>
        </w:rPr>
      </w:pPr>
      <w:r w:rsidRPr="009744BE">
        <w:rPr>
          <w:rFonts w:ascii="Arial" w:hAnsi="Arial" w:cs="Arial"/>
          <w:b/>
          <w:bCs/>
        </w:rPr>
        <w:lastRenderedPageBreak/>
        <w:t xml:space="preserve">Adjusting entrance fees </w:t>
      </w:r>
      <w:r w:rsidR="00AC77E0">
        <w:rPr>
          <w:rFonts w:ascii="Arial" w:hAnsi="Arial" w:cs="Arial"/>
          <w:b/>
          <w:bCs/>
        </w:rPr>
        <w:t>to Protected areas and Forest enterprises</w:t>
      </w:r>
      <w:r w:rsidRPr="009744BE">
        <w:rPr>
          <w:rFonts w:ascii="Arial" w:hAnsi="Arial" w:cs="Arial"/>
          <w:b/>
          <w:bCs/>
        </w:rPr>
        <w:t>.</w:t>
      </w:r>
    </w:p>
    <w:p w14:paraId="040171FD" w14:textId="77777777" w:rsidR="004A42C2" w:rsidRDefault="004A42C2" w:rsidP="002F540F">
      <w:pPr>
        <w:pStyle w:val="aff4"/>
        <w:jc w:val="both"/>
        <w:rPr>
          <w:rFonts w:ascii="Arial" w:hAnsi="Arial" w:cs="Arial"/>
          <w:sz w:val="22"/>
          <w:szCs w:val="22"/>
          <w:lang w:bidi="en-US"/>
        </w:rPr>
      </w:pPr>
      <w:r w:rsidRPr="004A42C2">
        <w:rPr>
          <w:rFonts w:ascii="Arial" w:hAnsi="Arial" w:cs="Arial"/>
          <w:sz w:val="22"/>
          <w:szCs w:val="22"/>
          <w:lang w:bidi="en-US"/>
        </w:rPr>
        <w:t>The objective of the intervention “Increase of Entrance Fees to Protected Areas and Forest Enterprises” is to strengthen the financial sustainability and institutional capacity of the Kyrgyz Republic’s system of Protected Areas (PAs) and Forest Enterprises (FEs) through the development and implementation of an economically justified, socially inclusive, and operationally feasible entrance fee system.</w:t>
      </w:r>
    </w:p>
    <w:p w14:paraId="0B8C2DC4" w14:textId="02DB8B7E" w:rsidR="000452C7" w:rsidRPr="002F540F" w:rsidRDefault="000452C7" w:rsidP="002F540F">
      <w:pPr>
        <w:pStyle w:val="aff4"/>
        <w:jc w:val="both"/>
        <w:rPr>
          <w:rFonts w:ascii="Arial" w:hAnsi="Arial" w:cs="Arial"/>
          <w:sz w:val="22"/>
          <w:szCs w:val="22"/>
          <w:lang w:bidi="en-US"/>
        </w:rPr>
      </w:pPr>
      <w:r w:rsidRPr="000452C7">
        <w:rPr>
          <w:rFonts w:ascii="Arial" w:hAnsi="Arial" w:cs="Arial"/>
          <w:sz w:val="22"/>
          <w:szCs w:val="22"/>
          <w:lang w:bidi="en-US"/>
        </w:rPr>
        <w:t>During the reporting period, the first phase of the intervention was implemented, focusing on comprehensive analytical and preparatory work. This phase included:</w:t>
      </w:r>
      <w:r w:rsidR="001B3315">
        <w:rPr>
          <w:rFonts w:ascii="Arial" w:hAnsi="Arial" w:cs="Arial"/>
          <w:sz w:val="22"/>
          <w:szCs w:val="22"/>
          <w:lang w:bidi="en-US"/>
        </w:rPr>
        <w:t>:</w:t>
      </w:r>
    </w:p>
    <w:p w14:paraId="1CD5BC6E" w14:textId="7060BB41" w:rsidR="002F540F" w:rsidRPr="002F540F" w:rsidRDefault="002F540F" w:rsidP="0028079E">
      <w:pPr>
        <w:pStyle w:val="aff4"/>
        <w:numPr>
          <w:ilvl w:val="0"/>
          <w:numId w:val="35"/>
        </w:numPr>
        <w:jc w:val="both"/>
        <w:rPr>
          <w:rFonts w:ascii="Arial" w:hAnsi="Arial" w:cs="Arial"/>
          <w:sz w:val="22"/>
          <w:szCs w:val="22"/>
          <w:lang w:bidi="en-US"/>
        </w:rPr>
      </w:pPr>
      <w:r w:rsidRPr="002F540F">
        <w:rPr>
          <w:rFonts w:ascii="Arial" w:hAnsi="Arial" w:cs="Arial"/>
          <w:sz w:val="22"/>
          <w:szCs w:val="22"/>
          <w:lang w:bidi="en-US"/>
        </w:rPr>
        <w:t xml:space="preserve">Analysis of regulation of entrance fees to PAs and FEs - detailed analysis for all selected PAs and FEs </w:t>
      </w:r>
    </w:p>
    <w:p w14:paraId="4EAA8999" w14:textId="49FCB223" w:rsidR="002F540F" w:rsidRPr="002F540F" w:rsidRDefault="002F540F" w:rsidP="0028079E">
      <w:pPr>
        <w:pStyle w:val="aff4"/>
        <w:numPr>
          <w:ilvl w:val="0"/>
          <w:numId w:val="35"/>
        </w:numPr>
        <w:jc w:val="both"/>
        <w:rPr>
          <w:rFonts w:ascii="Arial" w:hAnsi="Arial" w:cs="Arial"/>
          <w:sz w:val="22"/>
          <w:szCs w:val="22"/>
          <w:lang w:bidi="en-US"/>
        </w:rPr>
      </w:pPr>
      <w:r w:rsidRPr="002F540F">
        <w:rPr>
          <w:rFonts w:ascii="Arial" w:hAnsi="Arial" w:cs="Arial"/>
          <w:sz w:val="22"/>
          <w:szCs w:val="22"/>
          <w:lang w:bidi="en-US"/>
        </w:rPr>
        <w:t xml:space="preserve">Analysis of the current state of entrance fees in PAs and FEs, including retention of fees by PAs and FEs and fees collection system, and conducted comparison with regional and international practices </w:t>
      </w:r>
    </w:p>
    <w:p w14:paraId="7F6D90EA" w14:textId="7E4AB690" w:rsidR="002F540F" w:rsidRPr="002F540F" w:rsidRDefault="002F540F" w:rsidP="0028079E">
      <w:pPr>
        <w:pStyle w:val="aff4"/>
        <w:numPr>
          <w:ilvl w:val="0"/>
          <w:numId w:val="35"/>
        </w:numPr>
        <w:jc w:val="both"/>
        <w:rPr>
          <w:rFonts w:ascii="Arial" w:hAnsi="Arial" w:cs="Arial"/>
          <w:sz w:val="22"/>
          <w:szCs w:val="22"/>
          <w:lang w:bidi="en-US"/>
        </w:rPr>
      </w:pPr>
      <w:r w:rsidRPr="002F540F">
        <w:rPr>
          <w:rFonts w:ascii="Arial" w:hAnsi="Arial" w:cs="Arial"/>
          <w:sz w:val="22"/>
          <w:szCs w:val="22"/>
          <w:lang w:bidi="en-US"/>
        </w:rPr>
        <w:t>Assessment of existing ecotourism infrastructure and modernization needs</w:t>
      </w:r>
    </w:p>
    <w:p w14:paraId="295D5526" w14:textId="134AA7F4" w:rsidR="002F540F" w:rsidRPr="002F540F" w:rsidRDefault="002F540F" w:rsidP="0028079E">
      <w:pPr>
        <w:pStyle w:val="aff4"/>
        <w:numPr>
          <w:ilvl w:val="0"/>
          <w:numId w:val="35"/>
        </w:numPr>
        <w:jc w:val="both"/>
        <w:rPr>
          <w:rFonts w:ascii="Arial" w:hAnsi="Arial" w:cs="Arial"/>
          <w:sz w:val="22"/>
          <w:szCs w:val="22"/>
          <w:lang w:bidi="en-US"/>
        </w:rPr>
      </w:pPr>
      <w:r w:rsidRPr="002F540F">
        <w:rPr>
          <w:rFonts w:ascii="Arial" w:hAnsi="Arial" w:cs="Arial"/>
          <w:sz w:val="22"/>
          <w:szCs w:val="22"/>
          <w:lang w:bidi="en-US"/>
        </w:rPr>
        <w:t>Methodology and evaluation of visitors' payment capacity and the impact of tariff changes on attendance</w:t>
      </w:r>
    </w:p>
    <w:p w14:paraId="7C985B42" w14:textId="3219F603" w:rsidR="002F540F" w:rsidRPr="002F540F" w:rsidRDefault="001434AE" w:rsidP="0028079E">
      <w:pPr>
        <w:pStyle w:val="aff4"/>
        <w:numPr>
          <w:ilvl w:val="0"/>
          <w:numId w:val="35"/>
        </w:numPr>
        <w:jc w:val="both"/>
        <w:rPr>
          <w:rFonts w:ascii="Arial" w:hAnsi="Arial" w:cs="Arial"/>
          <w:sz w:val="22"/>
          <w:szCs w:val="22"/>
          <w:lang w:bidi="en-US"/>
        </w:rPr>
      </w:pPr>
      <w:r>
        <w:rPr>
          <w:rFonts w:ascii="Arial" w:hAnsi="Arial" w:cs="Arial"/>
          <w:sz w:val="22"/>
          <w:szCs w:val="22"/>
          <w:lang w:bidi="en-US"/>
        </w:rPr>
        <w:t>Development of the preliminary r</w:t>
      </w:r>
      <w:r w:rsidR="002F540F" w:rsidRPr="002F540F">
        <w:rPr>
          <w:rFonts w:ascii="Arial" w:hAnsi="Arial" w:cs="Arial"/>
          <w:sz w:val="22"/>
          <w:szCs w:val="22"/>
          <w:lang w:bidi="en-US"/>
        </w:rPr>
        <w:t>ecommendations for implementing new entrance fee rates, including regulatory, legal, administrative, and marketing aspects, which includes:</w:t>
      </w:r>
    </w:p>
    <w:p w14:paraId="7BF1E59D" w14:textId="5FB7FA87" w:rsidR="002F540F" w:rsidRPr="002F540F" w:rsidRDefault="002F540F" w:rsidP="0028079E">
      <w:pPr>
        <w:pStyle w:val="aff4"/>
        <w:numPr>
          <w:ilvl w:val="1"/>
          <w:numId w:val="35"/>
        </w:numPr>
        <w:jc w:val="both"/>
        <w:rPr>
          <w:rFonts w:ascii="Arial" w:hAnsi="Arial" w:cs="Arial"/>
          <w:sz w:val="22"/>
          <w:szCs w:val="22"/>
          <w:lang w:bidi="en-US"/>
        </w:rPr>
      </w:pPr>
      <w:r w:rsidRPr="002F540F">
        <w:rPr>
          <w:rFonts w:ascii="Arial" w:hAnsi="Arial" w:cs="Arial"/>
          <w:sz w:val="22"/>
          <w:szCs w:val="22"/>
          <w:lang w:bidi="en-US"/>
        </w:rPr>
        <w:t>Scenario 1. Introduction of a Unified Centralized Entry Fee System</w:t>
      </w:r>
    </w:p>
    <w:p w14:paraId="0A02B4F2" w14:textId="4CCF994D" w:rsidR="002F540F" w:rsidRPr="002F540F" w:rsidRDefault="002F540F" w:rsidP="0028079E">
      <w:pPr>
        <w:pStyle w:val="aff4"/>
        <w:numPr>
          <w:ilvl w:val="1"/>
          <w:numId w:val="35"/>
        </w:numPr>
        <w:jc w:val="both"/>
        <w:rPr>
          <w:rFonts w:ascii="Arial" w:hAnsi="Arial" w:cs="Arial"/>
          <w:sz w:val="22"/>
          <w:szCs w:val="22"/>
          <w:lang w:bidi="en-US"/>
        </w:rPr>
      </w:pPr>
      <w:r w:rsidRPr="002F540F">
        <w:rPr>
          <w:rFonts w:ascii="Arial" w:hAnsi="Arial" w:cs="Arial"/>
          <w:sz w:val="22"/>
          <w:szCs w:val="22"/>
          <w:lang w:bidi="en-US"/>
        </w:rPr>
        <w:t>Scenario 2. Standardized Differentiated Fee Model</w:t>
      </w:r>
    </w:p>
    <w:p w14:paraId="6667EA73" w14:textId="5538EDAC" w:rsidR="002F540F" w:rsidRPr="00B85FE6" w:rsidRDefault="002F540F" w:rsidP="002F540F">
      <w:pPr>
        <w:pStyle w:val="aff4"/>
        <w:numPr>
          <w:ilvl w:val="1"/>
          <w:numId w:val="35"/>
        </w:numPr>
        <w:jc w:val="both"/>
        <w:rPr>
          <w:rFonts w:ascii="Arial" w:hAnsi="Arial" w:cs="Arial"/>
          <w:sz w:val="22"/>
          <w:szCs w:val="22"/>
          <w:lang w:bidi="en-US"/>
        </w:rPr>
      </w:pPr>
      <w:r w:rsidRPr="002F540F">
        <w:rPr>
          <w:rFonts w:ascii="Arial" w:hAnsi="Arial" w:cs="Arial"/>
          <w:sz w:val="22"/>
          <w:szCs w:val="22"/>
          <w:lang w:bidi="en-US"/>
        </w:rPr>
        <w:t>Recommendations for Improving the Protected Areas and Forest Enterprises Sector</w:t>
      </w:r>
    </w:p>
    <w:p w14:paraId="4F63D8D5" w14:textId="1214255F" w:rsidR="00091FD3" w:rsidRPr="00091FD3" w:rsidRDefault="00091FD3" w:rsidP="00091FD3">
      <w:pPr>
        <w:jc w:val="both"/>
        <w:rPr>
          <w:rFonts w:ascii="Arial" w:hAnsi="Arial" w:cs="Arial"/>
        </w:rPr>
      </w:pPr>
      <w:r w:rsidRPr="00091FD3">
        <w:rPr>
          <w:rFonts w:ascii="Arial" w:hAnsi="Arial" w:cs="Arial"/>
        </w:rPr>
        <w:t>The analysis demonstrated that, while the current system of charging entrance fees for visits to PAs and FEs is generally supported by an existing legal and regulatory framework, it is constrained by a number of systemic weaknesses that limit its effectiveness as a sustainable financing instrument for conservation. Key challenges include inconsistencies across regulatory acts and variations in their practical application at the regional level, resulting in ambiguous tariff-setting procedures and uneven enforcement. The absence of unified standards for entrance fee administration further reduces transparency in visitor accounting and complicates the assessment of actual recreational pressure on natural areas.</w:t>
      </w:r>
    </w:p>
    <w:p w14:paraId="556D4841" w14:textId="124B9749" w:rsidR="00091FD3" w:rsidRPr="00091FD3" w:rsidRDefault="00091FD3" w:rsidP="00091FD3">
      <w:pPr>
        <w:jc w:val="both"/>
        <w:rPr>
          <w:rFonts w:ascii="Arial" w:hAnsi="Arial" w:cs="Arial"/>
        </w:rPr>
      </w:pPr>
      <w:r w:rsidRPr="00091FD3">
        <w:rPr>
          <w:rFonts w:ascii="Arial" w:hAnsi="Arial" w:cs="Arial"/>
        </w:rPr>
        <w:t>In practice, current entrance fee levels and collection mechanisms do not reflect the real costs associated with territory protection, infrastructure maintenance, and the implementation of conservation measures. In most cases, entrance fees remain largely nominal and do not function as an effective economic tool for managing visitor flows or mitigating anthropogenic impacts. Additional institutional and technical constraints were identified, including a limited number of access control points, insufficient use of digital solutions, challenges in applying the Costing and Technical Calculation methodology, and limited institutional capacity to substantiate tariffs based on actual service delivery costs.</w:t>
      </w:r>
    </w:p>
    <w:p w14:paraId="462B5161" w14:textId="0FF946C7" w:rsidR="00091FD3" w:rsidRPr="00091FD3" w:rsidRDefault="00091FD3" w:rsidP="00091FD3">
      <w:pPr>
        <w:jc w:val="both"/>
        <w:rPr>
          <w:rFonts w:ascii="Arial" w:hAnsi="Arial" w:cs="Arial"/>
        </w:rPr>
      </w:pPr>
      <w:r w:rsidRPr="00091FD3">
        <w:rPr>
          <w:rFonts w:ascii="Arial" w:hAnsi="Arial" w:cs="Arial"/>
        </w:rPr>
        <w:t xml:space="preserve">At the same time, the study confirms significant potential to improve the financial sustainability of PAs and FEs through reforms to tariff policy, the introduction of transparent and standardized visitor accounting systems, and a clearer differentiation between fees for access </w:t>
      </w:r>
      <w:r w:rsidRPr="00091FD3">
        <w:rPr>
          <w:rFonts w:ascii="Arial" w:hAnsi="Arial" w:cs="Arial"/>
        </w:rPr>
        <w:lastRenderedPageBreak/>
        <w:t>to natural resources and other paid services. The implementation of these measures could strengthen conservation outcomes, reduce ecosystem degradation risks, and promote a more balanced and equitable model of interaction among the state, local communities, and visitors.</w:t>
      </w:r>
    </w:p>
    <w:p w14:paraId="1A4CF560" w14:textId="77777777" w:rsidR="0076006F" w:rsidRDefault="00091FD3" w:rsidP="00091FD3">
      <w:pPr>
        <w:jc w:val="both"/>
        <w:rPr>
          <w:rFonts w:ascii="Arial" w:hAnsi="Arial" w:cs="Arial"/>
        </w:rPr>
      </w:pPr>
      <w:r w:rsidRPr="00091FD3">
        <w:rPr>
          <w:rFonts w:ascii="Arial" w:hAnsi="Arial" w:cs="Arial"/>
        </w:rPr>
        <w:t>This comprehensive analytical work and the resulting preliminary recommendations provide a solid foundation for the second phase of the intervention, which is planned for implementation in 2026 and will focus on the development and introduction of revised, increased entrance fee tariffs for Protected Areas and Forest Enterprises.</w:t>
      </w:r>
    </w:p>
    <w:p w14:paraId="613CB504" w14:textId="691D0B72" w:rsidR="004E0C52" w:rsidRPr="004E0C52" w:rsidRDefault="004E0C52" w:rsidP="00091FD3">
      <w:pPr>
        <w:jc w:val="both"/>
        <w:rPr>
          <w:rFonts w:ascii="Arial" w:hAnsi="Arial" w:cs="Arial"/>
          <w:b/>
          <w:bCs/>
        </w:rPr>
      </w:pPr>
      <w:r w:rsidRPr="004E0C52">
        <w:rPr>
          <w:rFonts w:ascii="Arial" w:hAnsi="Arial" w:cs="Arial"/>
          <w:b/>
          <w:bCs/>
        </w:rPr>
        <w:t>Accessing financing from regional development funds.</w:t>
      </w:r>
    </w:p>
    <w:p w14:paraId="32AD9C87" w14:textId="2A61FBA7" w:rsidR="00740125" w:rsidRDefault="00790792" w:rsidP="00790792">
      <w:pPr>
        <w:pStyle w:val="aff4"/>
        <w:jc w:val="both"/>
        <w:rPr>
          <w:rFonts w:ascii="Arial" w:hAnsi="Arial" w:cs="Arial"/>
          <w:sz w:val="22"/>
          <w:szCs w:val="22"/>
          <w:lang w:bidi="en-US"/>
        </w:rPr>
      </w:pPr>
      <w:r w:rsidRPr="00790792">
        <w:rPr>
          <w:rFonts w:ascii="Arial" w:hAnsi="Arial" w:cs="Arial"/>
          <w:sz w:val="22"/>
          <w:szCs w:val="22"/>
          <w:lang w:bidi="en-US"/>
        </w:rPr>
        <w:t>Regional Development Funds in Kyrgyzstan are organizations established to support and</w:t>
      </w:r>
      <w:r>
        <w:rPr>
          <w:rFonts w:ascii="Arial" w:hAnsi="Arial" w:cs="Arial"/>
          <w:sz w:val="22"/>
          <w:szCs w:val="22"/>
          <w:lang w:bidi="en-US"/>
        </w:rPr>
        <w:t xml:space="preserve"> </w:t>
      </w:r>
      <w:r w:rsidRPr="00790792">
        <w:rPr>
          <w:rFonts w:ascii="Arial" w:hAnsi="Arial" w:cs="Arial"/>
          <w:sz w:val="22"/>
          <w:szCs w:val="22"/>
          <w:lang w:bidi="en-US"/>
        </w:rPr>
        <w:t>stimulate the socio-economic development of the country's regions. RDFs operate in all oblasts and rayons. PAs and FEs can apply for RDF funding.</w:t>
      </w:r>
    </w:p>
    <w:p w14:paraId="17374066" w14:textId="6F342973" w:rsidR="00C31F38" w:rsidRPr="00C31F38" w:rsidRDefault="00C31F38" w:rsidP="00C31F38">
      <w:pPr>
        <w:pStyle w:val="aff4"/>
        <w:jc w:val="both"/>
        <w:rPr>
          <w:rFonts w:ascii="Arial" w:hAnsi="Arial" w:cs="Arial"/>
          <w:sz w:val="22"/>
          <w:szCs w:val="22"/>
          <w:lang w:bidi="en-US"/>
        </w:rPr>
      </w:pPr>
      <w:r w:rsidRPr="00C31F38">
        <w:rPr>
          <w:rFonts w:ascii="Arial" w:hAnsi="Arial" w:cs="Arial"/>
          <w:sz w:val="22"/>
          <w:szCs w:val="22"/>
          <w:lang w:bidi="en-US"/>
        </w:rPr>
        <w:t xml:space="preserve">However, a recent assessment revealed a key constraint: many PAs and FEs lack the technical capacity to develop and submit high-quality applications to RDFs. As a result, biodiversity and ecological priorities are often underrepresented in funding proposals. This </w:t>
      </w:r>
      <w:r w:rsidR="00457B1C">
        <w:rPr>
          <w:rFonts w:ascii="Arial" w:hAnsi="Arial" w:cs="Arial"/>
          <w:sz w:val="22"/>
          <w:szCs w:val="22"/>
          <w:lang w:bidi="en-US"/>
        </w:rPr>
        <w:t>interventions</w:t>
      </w:r>
      <w:r w:rsidRPr="00C31F38">
        <w:rPr>
          <w:rFonts w:ascii="Arial" w:hAnsi="Arial" w:cs="Arial"/>
          <w:sz w:val="22"/>
          <w:szCs w:val="22"/>
          <w:lang w:bidi="en-US"/>
        </w:rPr>
        <w:t xml:space="preserve"> presents an initiative designed to bridge this gap through targeted capacity development, preparation of practical guidelines and templates, and facilitation of stronger collaboration between environmental institutions and RDFs.</w:t>
      </w:r>
    </w:p>
    <w:p w14:paraId="388CBC73" w14:textId="42A80001" w:rsidR="00740125" w:rsidRDefault="00C31F38" w:rsidP="00C31F38">
      <w:pPr>
        <w:pStyle w:val="aff4"/>
        <w:jc w:val="both"/>
        <w:rPr>
          <w:rFonts w:ascii="Arial" w:hAnsi="Arial" w:cs="Arial"/>
          <w:sz w:val="22"/>
          <w:szCs w:val="22"/>
          <w:lang w:bidi="en-US"/>
        </w:rPr>
      </w:pPr>
      <w:r w:rsidRPr="00C31F38">
        <w:rPr>
          <w:rFonts w:ascii="Arial" w:hAnsi="Arial" w:cs="Arial"/>
          <w:sz w:val="22"/>
          <w:szCs w:val="22"/>
          <w:lang w:bidi="en-US"/>
        </w:rPr>
        <w:t>Th</w:t>
      </w:r>
      <w:r w:rsidR="00B847D5">
        <w:rPr>
          <w:rFonts w:ascii="Arial" w:hAnsi="Arial" w:cs="Arial"/>
          <w:sz w:val="22"/>
          <w:szCs w:val="22"/>
          <w:lang w:bidi="en-US"/>
        </w:rPr>
        <w:t>is</w:t>
      </w:r>
      <w:r w:rsidRPr="00C31F38">
        <w:rPr>
          <w:rFonts w:ascii="Arial" w:hAnsi="Arial" w:cs="Arial"/>
          <w:sz w:val="22"/>
          <w:szCs w:val="22"/>
          <w:lang w:bidi="en-US"/>
        </w:rPr>
        <w:t xml:space="preserve"> </w:t>
      </w:r>
      <w:r w:rsidR="00B847D5">
        <w:rPr>
          <w:rFonts w:ascii="Arial" w:hAnsi="Arial" w:cs="Arial"/>
          <w:sz w:val="22"/>
          <w:szCs w:val="22"/>
          <w:lang w:bidi="en-US"/>
        </w:rPr>
        <w:t>intervention</w:t>
      </w:r>
      <w:r w:rsidRPr="00C31F38">
        <w:rPr>
          <w:rFonts w:ascii="Arial" w:hAnsi="Arial" w:cs="Arial"/>
          <w:sz w:val="22"/>
          <w:szCs w:val="22"/>
          <w:lang w:bidi="en-US"/>
        </w:rPr>
        <w:t xml:space="preserve"> aims to strengthen the ability of PAs and FEs to secure funding from RDFs, establish mechanisms for regular cooperation with these funds, and advocate for the inclusion of dedicated biodiversity quotas in regional financing frameworks. </w:t>
      </w:r>
    </w:p>
    <w:p w14:paraId="0DB2A526" w14:textId="1951AD35" w:rsidR="00A13F54" w:rsidRPr="00A13F54" w:rsidRDefault="00A13F54" w:rsidP="00A13F54">
      <w:pPr>
        <w:pStyle w:val="aff4"/>
        <w:jc w:val="both"/>
        <w:rPr>
          <w:rFonts w:ascii="Arial" w:hAnsi="Arial" w:cs="Arial"/>
          <w:sz w:val="22"/>
          <w:szCs w:val="22"/>
          <w:lang w:bidi="en-US"/>
        </w:rPr>
      </w:pPr>
      <w:r w:rsidRPr="00A13F54">
        <w:rPr>
          <w:rFonts w:ascii="Arial" w:hAnsi="Arial" w:cs="Arial"/>
          <w:sz w:val="22"/>
          <w:szCs w:val="22"/>
          <w:lang w:bidi="en-US"/>
        </w:rPr>
        <w:t>During the reporting period, an analytical report was prepared based on a comprehensive review of the regulatory and institutional framework governing the operation of the Regional Development Funds (RDFs), including procedures for the submission, review, and financing of project applications. The analysis covered key legal acts, application forms, and monitoring requirements, and identified both opportunities and key barriers for the participation of Protected Areas (PAs) and Forest Enterprises (FEs). Practical recommendations were developed to improve accessibility of RDF mechanisms, strengthen the integration of conservation and nature-based solutions, and enhance internal application processes.</w:t>
      </w:r>
    </w:p>
    <w:p w14:paraId="6DDB62AD" w14:textId="10381AAE" w:rsidR="00A13F54" w:rsidRPr="00A13F54" w:rsidRDefault="00A13F54" w:rsidP="00A13F54">
      <w:pPr>
        <w:pStyle w:val="aff4"/>
        <w:jc w:val="both"/>
        <w:rPr>
          <w:rFonts w:ascii="Arial" w:hAnsi="Arial" w:cs="Arial"/>
          <w:sz w:val="22"/>
          <w:szCs w:val="22"/>
          <w:lang w:bidi="en-US"/>
        </w:rPr>
      </w:pPr>
      <w:r w:rsidRPr="00A13F54">
        <w:rPr>
          <w:rFonts w:ascii="Arial" w:hAnsi="Arial" w:cs="Arial"/>
          <w:sz w:val="22"/>
          <w:szCs w:val="22"/>
          <w:lang w:bidi="en-US"/>
        </w:rPr>
        <w:t>Building on the findings, clear and practical step-by-step instructions were developed for PA and FE staff, covering the full application cycle—from project concept development and preparation of environmental and financial justifications to approval, contracting, and reporting. These guidelines aim to improve the quality and success rate of PA and FE applications to RDFs.</w:t>
      </w:r>
    </w:p>
    <w:p w14:paraId="3755D762" w14:textId="14657DD6" w:rsidR="001C08F6" w:rsidRDefault="00A13F54" w:rsidP="00A13F54">
      <w:pPr>
        <w:pStyle w:val="aff4"/>
        <w:jc w:val="both"/>
        <w:rPr>
          <w:rFonts w:ascii="Arial" w:hAnsi="Arial" w:cs="Arial"/>
          <w:sz w:val="22"/>
          <w:szCs w:val="22"/>
          <w:lang w:bidi="en-US"/>
        </w:rPr>
      </w:pPr>
      <w:r w:rsidRPr="00A13F54">
        <w:rPr>
          <w:rFonts w:ascii="Arial" w:hAnsi="Arial" w:cs="Arial"/>
          <w:sz w:val="22"/>
          <w:szCs w:val="22"/>
          <w:lang w:bidi="en-US"/>
        </w:rPr>
        <w:t>In addition, standardized application templates and supporting documentation were developed for the most common economic and social-infrastructure project types, including selected nature-based solutions. The templates are designed to simplify application preparation, improve proposal quality and competitiveness, and promote the integration of biodiversity and conservation considerations into RDF-financed projects.</w:t>
      </w:r>
    </w:p>
    <w:p w14:paraId="2419C044" w14:textId="3652BF00" w:rsidR="00F92A92" w:rsidRDefault="00F92A92" w:rsidP="00A13F54">
      <w:pPr>
        <w:pStyle w:val="aff4"/>
        <w:jc w:val="both"/>
        <w:rPr>
          <w:rFonts w:ascii="Arial" w:hAnsi="Arial" w:cs="Arial"/>
          <w:sz w:val="22"/>
          <w:szCs w:val="22"/>
          <w:lang w:bidi="en-US"/>
        </w:rPr>
      </w:pPr>
      <w:r>
        <w:rPr>
          <w:rFonts w:ascii="Arial" w:hAnsi="Arial" w:cs="Arial"/>
          <w:sz w:val="22"/>
          <w:szCs w:val="22"/>
          <w:lang w:bidi="en-US"/>
        </w:rPr>
        <w:t>In 2026, the 2</w:t>
      </w:r>
      <w:r w:rsidRPr="00F92A92">
        <w:rPr>
          <w:rFonts w:ascii="Arial" w:hAnsi="Arial" w:cs="Arial"/>
          <w:sz w:val="22"/>
          <w:szCs w:val="22"/>
          <w:vertAlign w:val="superscript"/>
          <w:lang w:bidi="en-US"/>
        </w:rPr>
        <w:t>nd</w:t>
      </w:r>
      <w:r>
        <w:rPr>
          <w:rFonts w:ascii="Arial" w:hAnsi="Arial" w:cs="Arial"/>
          <w:sz w:val="22"/>
          <w:szCs w:val="22"/>
          <w:lang w:bidi="en-US"/>
        </w:rPr>
        <w:t xml:space="preserve"> phase of the intervention will </w:t>
      </w:r>
      <w:r w:rsidR="002C3FE7">
        <w:rPr>
          <w:rFonts w:ascii="Arial" w:hAnsi="Arial" w:cs="Arial"/>
          <w:sz w:val="22"/>
          <w:szCs w:val="22"/>
          <w:lang w:bidi="en-US"/>
        </w:rPr>
        <w:t xml:space="preserve">focus on supporting the PAs and Fes in developing the full package of </w:t>
      </w:r>
      <w:r w:rsidR="008E3FA5">
        <w:rPr>
          <w:rFonts w:ascii="Arial" w:hAnsi="Arial" w:cs="Arial"/>
          <w:sz w:val="22"/>
          <w:szCs w:val="22"/>
          <w:lang w:bidi="en-US"/>
        </w:rPr>
        <w:t>application to be submitted for financing by the RDFs.</w:t>
      </w:r>
    </w:p>
    <w:p w14:paraId="7AF0F188" w14:textId="6F998482" w:rsidR="00E761BD" w:rsidRPr="00E761BD" w:rsidRDefault="00E761BD" w:rsidP="00A13F54">
      <w:pPr>
        <w:pStyle w:val="aff4"/>
        <w:jc w:val="both"/>
        <w:rPr>
          <w:rFonts w:ascii="Arial" w:hAnsi="Arial" w:cs="Arial"/>
          <w:b/>
          <w:bCs/>
          <w:sz w:val="22"/>
          <w:szCs w:val="22"/>
          <w:lang w:bidi="en-US"/>
        </w:rPr>
      </w:pPr>
      <w:r w:rsidRPr="00E761BD">
        <w:rPr>
          <w:rFonts w:ascii="Arial" w:hAnsi="Arial" w:cs="Arial"/>
          <w:b/>
          <w:bCs/>
          <w:sz w:val="22"/>
          <w:szCs w:val="22"/>
          <w:lang w:bidi="en-US"/>
        </w:rPr>
        <w:lastRenderedPageBreak/>
        <w:t>Streamlining land lease revenues allocation into special accounts, including legislative adjustments.</w:t>
      </w:r>
    </w:p>
    <w:p w14:paraId="2D25854F" w14:textId="77777777" w:rsidR="009F54AC" w:rsidRDefault="009F54AC" w:rsidP="00EC175B">
      <w:pPr>
        <w:pStyle w:val="aff4"/>
        <w:jc w:val="both"/>
        <w:rPr>
          <w:rFonts w:ascii="Arial" w:hAnsi="Arial" w:cs="Arial"/>
          <w:sz w:val="22"/>
          <w:szCs w:val="22"/>
          <w:lang w:bidi="en-US"/>
        </w:rPr>
      </w:pPr>
      <w:r w:rsidRPr="009F54AC">
        <w:rPr>
          <w:rFonts w:ascii="Arial" w:hAnsi="Arial" w:cs="Arial"/>
          <w:sz w:val="22"/>
          <w:szCs w:val="22"/>
          <w:lang w:bidi="en-US"/>
        </w:rPr>
        <w:t>The objective of this intervention is to strengthen the financial sustainability of the Kyrgyz Republic’s system of Protected Areas (PAs) by assessing and expanding legally permissible revenue-generation mechanisms and improving institutional arrangements for income management and use. Particular emphasis is placed on ensuring the sustainable and targeted use of PA-generated revenues through their allocation to special accounts that are directly accessible to the PAs themselves.</w:t>
      </w:r>
    </w:p>
    <w:p w14:paraId="209FE01D" w14:textId="11560C60" w:rsidR="00144EDD" w:rsidRDefault="00915A00" w:rsidP="00EC175B">
      <w:pPr>
        <w:pStyle w:val="aff4"/>
        <w:jc w:val="both"/>
        <w:rPr>
          <w:rFonts w:ascii="Arial" w:hAnsi="Arial" w:cs="Arial"/>
          <w:sz w:val="22"/>
          <w:szCs w:val="22"/>
          <w:lang w:bidi="en-US"/>
        </w:rPr>
      </w:pPr>
      <w:r w:rsidRPr="00915A00">
        <w:rPr>
          <w:rFonts w:ascii="Arial" w:hAnsi="Arial" w:cs="Arial"/>
          <w:sz w:val="22"/>
          <w:szCs w:val="22"/>
          <w:lang w:bidi="en-US"/>
        </w:rPr>
        <w:t>During the reporting period, a comprehensive legal and institutional analysis was conducted, examining the national budget framework, special accounts regulations, and 26 potential revenue sources for PAs. The work resulted in a technical note with concrete, legally grounded recommendations identifying revenue streams that can be implemented immediately, those requiring regulatory amendments, and those subject to inclusion in the Unified Register of State Services. In parallel, extensive consultations were held with the Ministry of Natural Resources, the Ministry of Finance, and relevant departments, leading to increased government awareness of revenue diversification opportunities and formal consideration of regulatory and institutional reforms, including strengthening the budgetary role of the Department of Biodiversity Conservation and Protected Areas. As a result, the intervention established a clear, evidence-based roadmap for diversifying PA revenues and laid the groundwork for subsequent policy and regulatory action to enhance long-term financial self-sufficiency of the protected area system.</w:t>
      </w:r>
    </w:p>
    <w:p w14:paraId="6B4CE88E" w14:textId="5C66EE2E" w:rsidR="00D8694F" w:rsidRPr="000D3A68" w:rsidRDefault="00B34AE6" w:rsidP="00EC175B">
      <w:pPr>
        <w:pStyle w:val="aff4"/>
        <w:jc w:val="both"/>
        <w:rPr>
          <w:rFonts w:ascii="Arial" w:hAnsi="Arial" w:cs="Arial"/>
          <w:sz w:val="22"/>
          <w:szCs w:val="22"/>
          <w:lang w:val="ru-RU" w:bidi="en-US"/>
        </w:rPr>
      </w:pPr>
      <w:r w:rsidRPr="00B34AE6">
        <w:rPr>
          <w:rFonts w:ascii="Arial" w:hAnsi="Arial" w:cs="Arial"/>
          <w:sz w:val="22"/>
          <w:szCs w:val="22"/>
          <w:lang w:bidi="en-US"/>
        </w:rPr>
        <w:t>In 2026, the second phase of the intervention will focus on supporting the implementation of these follow-up policy and regulatory measures, enabling eligible revenues to be effectively transferred to and managed through the special accounts of Protected Areas.</w:t>
      </w:r>
    </w:p>
    <w:p w14:paraId="354744CB" w14:textId="0FC9FA07" w:rsidR="00901812" w:rsidRPr="007969E9" w:rsidRDefault="00901812" w:rsidP="00843D8F">
      <w:pPr>
        <w:keepNext/>
        <w:numPr>
          <w:ilvl w:val="1"/>
          <w:numId w:val="6"/>
        </w:numPr>
        <w:tabs>
          <w:tab w:val="num" w:pos="360"/>
        </w:tabs>
        <w:spacing w:before="360" w:after="120" w:line="240" w:lineRule="auto"/>
        <w:ind w:left="709" w:hanging="709"/>
        <w:outlineLvl w:val="1"/>
        <w:rPr>
          <w:rFonts w:ascii="Arial" w:hAnsi="Arial" w:cs="Arial"/>
          <w:bCs/>
          <w:color w:val="098435"/>
          <w:sz w:val="32"/>
          <w:szCs w:val="32"/>
        </w:rPr>
      </w:pPr>
      <w:bookmarkStart w:id="177" w:name="_Toc219880845"/>
      <w:r w:rsidRPr="007969E9">
        <w:rPr>
          <w:rFonts w:ascii="Arial" w:hAnsi="Arial" w:cs="Arial"/>
          <w:bCs/>
          <w:color w:val="098435"/>
          <w:sz w:val="32"/>
          <w:szCs w:val="32"/>
        </w:rPr>
        <w:t>FS 8: Digitalization of rental payments for leasing forest plots</w:t>
      </w:r>
      <w:bookmarkEnd w:id="177"/>
    </w:p>
    <w:p w14:paraId="2FE5A0BB" w14:textId="77777777" w:rsidR="00526731" w:rsidRDefault="00526731" w:rsidP="00527BCE">
      <w:pPr>
        <w:jc w:val="both"/>
        <w:rPr>
          <w:rFonts w:ascii="Arial" w:hAnsi="Arial" w:cs="Arial"/>
        </w:rPr>
      </w:pPr>
      <w:r w:rsidRPr="00526731">
        <w:rPr>
          <w:rFonts w:ascii="Arial" w:hAnsi="Arial" w:cs="Arial"/>
        </w:rPr>
        <w:t>This financial solution, supported by funding from the Government of Germany, aims to digitalize payments for services provided by the Forest Service and Forestry Enterprises (FEs) by transitioning all transactions to non-cash formats. This shift will improve the transparency, traceability, and timeliness of financial operations, ensuring that payments are immediately recorded in an electronic database</w:t>
      </w:r>
    </w:p>
    <w:p w14:paraId="0A26F432" w14:textId="1093C17C" w:rsidR="00901812" w:rsidRPr="007969E9" w:rsidRDefault="002008B8" w:rsidP="00527BCE">
      <w:pPr>
        <w:jc w:val="both"/>
        <w:rPr>
          <w:rFonts w:ascii="Arial" w:hAnsi="Arial" w:cs="Arial"/>
        </w:rPr>
      </w:pPr>
      <w:r>
        <w:rPr>
          <w:rFonts w:ascii="Arial" w:hAnsi="Arial" w:cs="Arial"/>
        </w:rPr>
        <w:t>In addition</w:t>
      </w:r>
      <w:r w:rsidR="00527BCE" w:rsidRPr="00527BCE">
        <w:rPr>
          <w:rFonts w:ascii="Arial" w:hAnsi="Arial" w:cs="Arial"/>
        </w:rPr>
        <w:t>, the solution will expand payment channels, enabling users in remote areas to make payments through various financial instruments such as terminals, e-wallets, and other digital platforms. It will also streamline and optimize existing business processes, improving efficiency and accessibility across the system.</w:t>
      </w:r>
    </w:p>
    <w:p w14:paraId="18B77312" w14:textId="77777777" w:rsidR="00C24CEC" w:rsidRPr="007969E9" w:rsidRDefault="00C24CEC" w:rsidP="00843D8F">
      <w:pPr>
        <w:pStyle w:val="af8"/>
        <w:keepNext/>
        <w:numPr>
          <w:ilvl w:val="1"/>
          <w:numId w:val="9"/>
        </w:numPr>
        <w:spacing w:before="360" w:after="120" w:line="240" w:lineRule="auto"/>
        <w:contextualSpacing w:val="0"/>
        <w:outlineLvl w:val="2"/>
        <w:rPr>
          <w:rFonts w:ascii="Arial" w:hAnsi="Arial" w:cs="Arial"/>
          <w:bCs/>
          <w:vanish/>
          <w:sz w:val="28"/>
          <w:szCs w:val="28"/>
        </w:rPr>
      </w:pPr>
      <w:bookmarkStart w:id="178" w:name="_Toc186229630"/>
      <w:bookmarkStart w:id="179" w:name="_Toc186230960"/>
      <w:bookmarkStart w:id="180" w:name="_Toc186231009"/>
      <w:bookmarkStart w:id="181" w:name="_Toc203660848"/>
      <w:bookmarkStart w:id="182" w:name="_Toc203669848"/>
      <w:bookmarkStart w:id="183" w:name="_Toc203671287"/>
      <w:bookmarkStart w:id="184" w:name="_Toc203684685"/>
      <w:bookmarkStart w:id="185" w:name="_Toc219874297"/>
      <w:bookmarkStart w:id="186" w:name="_Toc219875502"/>
      <w:bookmarkStart w:id="187" w:name="_Toc219880770"/>
      <w:bookmarkStart w:id="188" w:name="_Toc219880846"/>
      <w:bookmarkEnd w:id="178"/>
      <w:bookmarkEnd w:id="179"/>
      <w:bookmarkEnd w:id="180"/>
      <w:bookmarkEnd w:id="181"/>
      <w:bookmarkEnd w:id="182"/>
      <w:bookmarkEnd w:id="183"/>
      <w:bookmarkEnd w:id="184"/>
      <w:bookmarkEnd w:id="185"/>
      <w:bookmarkEnd w:id="186"/>
      <w:bookmarkEnd w:id="187"/>
      <w:bookmarkEnd w:id="188"/>
    </w:p>
    <w:p w14:paraId="708B01E8" w14:textId="09D69BD5" w:rsidR="00C24CEC" w:rsidRPr="007969E9" w:rsidRDefault="00C24CEC" w:rsidP="00843D8F">
      <w:pPr>
        <w:keepNext/>
        <w:numPr>
          <w:ilvl w:val="2"/>
          <w:numId w:val="9"/>
        </w:numPr>
        <w:spacing w:before="360" w:after="120" w:line="240" w:lineRule="auto"/>
        <w:ind w:left="504"/>
        <w:outlineLvl w:val="2"/>
        <w:rPr>
          <w:rFonts w:ascii="Arial" w:hAnsi="Arial" w:cs="Arial"/>
          <w:bCs/>
          <w:sz w:val="28"/>
          <w:szCs w:val="28"/>
        </w:rPr>
      </w:pPr>
      <w:bookmarkStart w:id="189" w:name="_Toc219880847"/>
      <w:r w:rsidRPr="007969E9">
        <w:rPr>
          <w:rFonts w:ascii="Arial" w:hAnsi="Arial" w:cs="Arial"/>
          <w:bCs/>
          <w:sz w:val="28"/>
          <w:szCs w:val="28"/>
        </w:rPr>
        <w:t>Activities and results related to output areas</w:t>
      </w:r>
      <w:bookmarkEnd w:id="189"/>
      <w:r w:rsidRPr="007969E9">
        <w:rPr>
          <w:rFonts w:ascii="Arial" w:hAnsi="Arial" w:cs="Arial"/>
          <w:bCs/>
          <w:sz w:val="28"/>
          <w:szCs w:val="28"/>
        </w:rPr>
        <w:t xml:space="preserve"> </w:t>
      </w:r>
    </w:p>
    <w:p w14:paraId="77A81EBF" w14:textId="77777777" w:rsidR="00C24CEC" w:rsidRDefault="00C24CEC" w:rsidP="001B76BE">
      <w:pPr>
        <w:pStyle w:val="a0"/>
        <w:jc w:val="both"/>
      </w:pPr>
      <w:r w:rsidRPr="007969E9">
        <w:t>The key partner in implementation is the Forest Service under the Ministry of Emergency Situations.</w:t>
      </w:r>
    </w:p>
    <w:p w14:paraId="5C0BC904" w14:textId="1C69B074" w:rsidR="00B427A4" w:rsidRDefault="00B427A4" w:rsidP="001B76BE">
      <w:pPr>
        <w:pStyle w:val="a0"/>
        <w:jc w:val="both"/>
      </w:pPr>
      <w:r w:rsidRPr="00B427A4">
        <w:lastRenderedPageBreak/>
        <w:t xml:space="preserve">BIOFIN has supported the </w:t>
      </w:r>
      <w:r w:rsidR="00AE76E1">
        <w:t xml:space="preserve">implementation of the </w:t>
      </w:r>
      <w:r w:rsidRPr="00B427A4">
        <w:t xml:space="preserve">Financial Solution (FS) </w:t>
      </w:r>
      <w:r w:rsidR="00AE76E1">
        <w:t xml:space="preserve">by </w:t>
      </w:r>
      <w:r w:rsidRPr="00B427A4">
        <w:t>enhanc</w:t>
      </w:r>
      <w:r w:rsidR="00AE76E1">
        <w:t>ing</w:t>
      </w:r>
      <w:r w:rsidRPr="00B427A4">
        <w:t xml:space="preserve"> the Forest Service's automated information system (AIS) "Forest Management" </w:t>
      </w:r>
      <w:r w:rsidR="00763081" w:rsidRPr="00763081">
        <w:t>through integration with relevant state IT systems. This effort included the development of new modules and functionalities, as well as the expansion of existing ones, to enable the transition of all payments to non-cash formats.</w:t>
      </w:r>
    </w:p>
    <w:p w14:paraId="10C5F202" w14:textId="6370D2E0" w:rsidR="000D3A68" w:rsidRDefault="000D3A68" w:rsidP="000D3A68">
      <w:pPr>
        <w:pStyle w:val="a0"/>
        <w:jc w:val="both"/>
      </w:pPr>
      <w:r>
        <w:t>One of the system’s key objectives is the transition of forest-use payments to an electronic format through the national government payment gateway.</w:t>
      </w:r>
    </w:p>
    <w:p w14:paraId="3A4CF9C7" w14:textId="45786650" w:rsidR="000D3A68" w:rsidRPr="00466ED4" w:rsidRDefault="000D3A68" w:rsidP="000D3A68">
      <w:pPr>
        <w:pStyle w:val="a0"/>
        <w:jc w:val="both"/>
        <w:rPr>
          <w:i/>
          <w:iCs/>
        </w:rPr>
      </w:pPr>
      <w:r>
        <w:t>The c</w:t>
      </w:r>
      <w:r>
        <w:t xml:space="preserve">hanges </w:t>
      </w:r>
      <w:r>
        <w:t>i</w:t>
      </w:r>
      <w:r>
        <w:t xml:space="preserve">ntroduced </w:t>
      </w:r>
      <w:r>
        <w:t>f</w:t>
      </w:r>
      <w:r>
        <w:t xml:space="preserve">ollowing </w:t>
      </w:r>
      <w:r>
        <w:t xml:space="preserve">the </w:t>
      </w:r>
      <w:r w:rsidR="008B4074">
        <w:t xml:space="preserve">AIS update: </w:t>
      </w:r>
    </w:p>
    <w:p w14:paraId="361721A8" w14:textId="77777777" w:rsidR="000D3A68" w:rsidRPr="00466ED4" w:rsidRDefault="000D3A68" w:rsidP="000D3A68">
      <w:pPr>
        <w:pStyle w:val="a0"/>
        <w:jc w:val="both"/>
        <w:rPr>
          <w:i/>
          <w:iCs/>
        </w:rPr>
      </w:pPr>
      <w:r w:rsidRPr="00466ED4">
        <w:rPr>
          <w:i/>
          <w:iCs/>
        </w:rPr>
        <w:t>1. Simplified and accessible payment process for users</w:t>
      </w:r>
    </w:p>
    <w:p w14:paraId="3073061F" w14:textId="36F9D744" w:rsidR="000D3A68" w:rsidRDefault="000D3A68" w:rsidP="000D3A68">
      <w:pPr>
        <w:pStyle w:val="a0"/>
        <w:jc w:val="both"/>
      </w:pPr>
      <w:r>
        <w:t>Prior to the implementation of AIS, leaseholders were required to visit banks in person, wait in queues, and submit paper payment receipts to the Forest Service.</w:t>
      </w:r>
    </w:p>
    <w:p w14:paraId="749FA2AE" w14:textId="454BA695" w:rsidR="000D3A68" w:rsidRDefault="000D3A68" w:rsidP="000D3A68">
      <w:pPr>
        <w:pStyle w:val="a0"/>
        <w:jc w:val="both"/>
      </w:pPr>
      <w:r>
        <w:t>Following implementation, the payment process has been fully streamlined. Users can now:</w:t>
      </w:r>
    </w:p>
    <w:p w14:paraId="0F026DFB" w14:textId="5933C9F7" w:rsidR="000D3A68" w:rsidRDefault="000D3A68" w:rsidP="00E94813">
      <w:pPr>
        <w:pStyle w:val="a0"/>
        <w:numPr>
          <w:ilvl w:val="0"/>
          <w:numId w:val="37"/>
        </w:numPr>
        <w:spacing w:line="240" w:lineRule="auto"/>
        <w:contextualSpacing/>
        <w:jc w:val="both"/>
      </w:pPr>
      <w:r>
        <w:t>make payments remotely from any location;</w:t>
      </w:r>
    </w:p>
    <w:p w14:paraId="5A09F170" w14:textId="7D9E8612" w:rsidR="000D3A68" w:rsidRDefault="000D3A68" w:rsidP="00E94813">
      <w:pPr>
        <w:pStyle w:val="a0"/>
        <w:numPr>
          <w:ilvl w:val="0"/>
          <w:numId w:val="37"/>
        </w:numPr>
        <w:spacing w:line="240" w:lineRule="auto"/>
        <w:contextualSpacing/>
        <w:jc w:val="both"/>
      </w:pPr>
      <w:r>
        <w:t>use multiple payment channels, including mobile banking, e-wallets, payment terminals, and other digital platforms;</w:t>
      </w:r>
    </w:p>
    <w:p w14:paraId="3352D837" w14:textId="503AD526" w:rsidR="000D3A68" w:rsidRDefault="000D3A68" w:rsidP="000D3A68">
      <w:pPr>
        <w:pStyle w:val="a0"/>
        <w:numPr>
          <w:ilvl w:val="0"/>
          <w:numId w:val="37"/>
        </w:numPr>
        <w:spacing w:line="240" w:lineRule="auto"/>
        <w:contextualSpacing/>
        <w:jc w:val="both"/>
      </w:pPr>
      <w:r>
        <w:t>pay lease fees and other charges using generated payment codes (including QR codes), without visiting a bank.</w:t>
      </w:r>
    </w:p>
    <w:p w14:paraId="0A2FC508" w14:textId="77777777" w:rsidR="00E94813" w:rsidRPr="00466ED4" w:rsidRDefault="00E94813" w:rsidP="00E94813">
      <w:pPr>
        <w:pStyle w:val="a0"/>
        <w:spacing w:line="240" w:lineRule="auto"/>
        <w:ind w:left="360"/>
        <w:contextualSpacing/>
        <w:jc w:val="both"/>
        <w:rPr>
          <w:i/>
          <w:iCs/>
        </w:rPr>
      </w:pPr>
    </w:p>
    <w:p w14:paraId="0C3D8688" w14:textId="77777777" w:rsidR="000D3A68" w:rsidRPr="00466ED4" w:rsidRDefault="000D3A68" w:rsidP="000D3A68">
      <w:pPr>
        <w:pStyle w:val="a0"/>
        <w:jc w:val="both"/>
        <w:rPr>
          <w:i/>
          <w:iCs/>
        </w:rPr>
      </w:pPr>
      <w:r w:rsidRPr="00466ED4">
        <w:rPr>
          <w:i/>
          <w:iCs/>
        </w:rPr>
        <w:t>2. Improved transparency and real-time payment tracking</w:t>
      </w:r>
    </w:p>
    <w:p w14:paraId="2F5ECD00" w14:textId="65A67163" w:rsidR="000D3A68" w:rsidRDefault="000D3A68" w:rsidP="00E94813">
      <w:pPr>
        <w:pStyle w:val="a0"/>
        <w:spacing w:line="240" w:lineRule="auto"/>
        <w:contextualSpacing/>
        <w:jc w:val="both"/>
      </w:pPr>
      <w:r>
        <w:t>AIS automatically generates payment codes and sends them to leaseholders. Once payment is made:</w:t>
      </w:r>
    </w:p>
    <w:p w14:paraId="62EB3850" w14:textId="77777777" w:rsidR="000D3A68" w:rsidRDefault="000D3A68" w:rsidP="00E94813">
      <w:pPr>
        <w:pStyle w:val="a0"/>
        <w:spacing w:line="240" w:lineRule="auto"/>
        <w:contextualSpacing/>
        <w:jc w:val="both"/>
      </w:pPr>
    </w:p>
    <w:p w14:paraId="40CBE563" w14:textId="52A2CA51" w:rsidR="000D3A68" w:rsidRDefault="000D3A68" w:rsidP="00E94813">
      <w:pPr>
        <w:pStyle w:val="a0"/>
        <w:numPr>
          <w:ilvl w:val="0"/>
          <w:numId w:val="38"/>
        </w:numPr>
        <w:spacing w:line="240" w:lineRule="auto"/>
        <w:contextualSpacing/>
        <w:jc w:val="both"/>
      </w:pPr>
      <w:r>
        <w:t>transaction information is reflected in the system in real time;</w:t>
      </w:r>
    </w:p>
    <w:p w14:paraId="54C08078" w14:textId="26187D21" w:rsidR="000D3A68" w:rsidRDefault="000D3A68" w:rsidP="00E94813">
      <w:pPr>
        <w:pStyle w:val="a0"/>
        <w:numPr>
          <w:ilvl w:val="0"/>
          <w:numId w:val="38"/>
        </w:numPr>
        <w:spacing w:line="240" w:lineRule="auto"/>
        <w:contextualSpacing/>
        <w:jc w:val="both"/>
      </w:pPr>
      <w:r>
        <w:t>Forest Service staff can verify payments down to the exact time of receipt;</w:t>
      </w:r>
    </w:p>
    <w:p w14:paraId="780D6F0E" w14:textId="77777777" w:rsidR="000D3A68" w:rsidRDefault="000D3A68" w:rsidP="00E94813">
      <w:pPr>
        <w:pStyle w:val="a0"/>
        <w:numPr>
          <w:ilvl w:val="0"/>
          <w:numId w:val="38"/>
        </w:numPr>
        <w:spacing w:line="240" w:lineRule="auto"/>
        <w:contextualSpacing/>
        <w:jc w:val="both"/>
      </w:pPr>
      <w:r>
        <w:t>manual verification of paper receipts is no longer required.</w:t>
      </w:r>
    </w:p>
    <w:p w14:paraId="2B420AA2" w14:textId="50DAA410" w:rsidR="000D3A68" w:rsidRDefault="000D3A68" w:rsidP="00710460">
      <w:pPr>
        <w:pStyle w:val="a0"/>
        <w:spacing w:line="240" w:lineRule="auto"/>
        <w:contextualSpacing/>
        <w:jc w:val="both"/>
      </w:pPr>
      <w:r>
        <w:t>This has significantly reduced human error, administrative workload, and processing time.</w:t>
      </w:r>
    </w:p>
    <w:p w14:paraId="76E7F267" w14:textId="77777777" w:rsidR="00710460" w:rsidRDefault="00710460" w:rsidP="00710460">
      <w:pPr>
        <w:pStyle w:val="a0"/>
        <w:spacing w:line="240" w:lineRule="auto"/>
        <w:contextualSpacing/>
        <w:jc w:val="both"/>
      </w:pPr>
    </w:p>
    <w:p w14:paraId="1F9EC41E" w14:textId="77777777" w:rsidR="000D3A68" w:rsidRPr="00466ED4" w:rsidRDefault="000D3A68" w:rsidP="002F5186">
      <w:pPr>
        <w:pStyle w:val="a0"/>
        <w:spacing w:line="240" w:lineRule="auto"/>
        <w:contextualSpacing/>
        <w:jc w:val="both"/>
        <w:rPr>
          <w:i/>
          <w:iCs/>
        </w:rPr>
      </w:pPr>
      <w:r w:rsidRPr="00466ED4">
        <w:rPr>
          <w:i/>
          <w:iCs/>
        </w:rPr>
        <w:t>3. Centralized control and enhanced analytics</w:t>
      </w:r>
    </w:p>
    <w:p w14:paraId="530A18F6" w14:textId="77777777" w:rsidR="002F5186" w:rsidRDefault="002F5186" w:rsidP="002F5186">
      <w:pPr>
        <w:pStyle w:val="a0"/>
        <w:spacing w:line="240" w:lineRule="auto"/>
        <w:contextualSpacing/>
        <w:jc w:val="both"/>
      </w:pPr>
    </w:p>
    <w:p w14:paraId="4580F2C5" w14:textId="386FCC86" w:rsidR="000D3A68" w:rsidRDefault="000D3A68" w:rsidP="002F5186">
      <w:pPr>
        <w:pStyle w:val="a0"/>
        <w:spacing w:line="240" w:lineRule="auto"/>
        <w:contextualSpacing/>
        <w:jc w:val="both"/>
      </w:pPr>
      <w:r>
        <w:t>The system enables</w:t>
      </w:r>
      <w:r w:rsidR="008B6EF7">
        <w:t xml:space="preserve"> now</w:t>
      </w:r>
      <w:r>
        <w:t>:</w:t>
      </w:r>
    </w:p>
    <w:p w14:paraId="15D67437" w14:textId="61D9597C" w:rsidR="000D3A68" w:rsidRDefault="000D3A68" w:rsidP="002F5186">
      <w:pPr>
        <w:pStyle w:val="a0"/>
        <w:numPr>
          <w:ilvl w:val="0"/>
          <w:numId w:val="39"/>
        </w:numPr>
        <w:spacing w:line="240" w:lineRule="auto"/>
        <w:ind w:left="360"/>
        <w:contextualSpacing/>
        <w:jc w:val="both"/>
      </w:pPr>
      <w:r>
        <w:t>centralized monitoring of all payments within a single database;</w:t>
      </w:r>
    </w:p>
    <w:p w14:paraId="1508DE36" w14:textId="0745A26A" w:rsidR="000D3A68" w:rsidRDefault="000D3A68" w:rsidP="002F5186">
      <w:pPr>
        <w:pStyle w:val="a0"/>
        <w:numPr>
          <w:ilvl w:val="0"/>
          <w:numId w:val="39"/>
        </w:numPr>
        <w:spacing w:line="240" w:lineRule="auto"/>
        <w:ind w:left="360"/>
        <w:contextualSpacing/>
        <w:jc w:val="both"/>
      </w:pPr>
      <w:r>
        <w:t>generation of consolidated reports by individual leaseholders, types of forest use, forest enterprises, regions, and at the national level;</w:t>
      </w:r>
    </w:p>
    <w:p w14:paraId="10416E40" w14:textId="77777777" w:rsidR="000D3A68" w:rsidRDefault="000D3A68" w:rsidP="002F5186">
      <w:pPr>
        <w:pStyle w:val="a0"/>
        <w:numPr>
          <w:ilvl w:val="0"/>
          <w:numId w:val="39"/>
        </w:numPr>
        <w:spacing w:line="240" w:lineRule="auto"/>
        <w:ind w:left="360"/>
        <w:contextualSpacing/>
        <w:jc w:val="both"/>
      </w:pPr>
      <w:r>
        <w:t>real-time tracking of outstanding receivables.</w:t>
      </w:r>
    </w:p>
    <w:p w14:paraId="642958DF" w14:textId="0DEFE5BE" w:rsidR="000D3A68" w:rsidRDefault="000D3A68" w:rsidP="000D3A68">
      <w:pPr>
        <w:pStyle w:val="a0"/>
        <w:numPr>
          <w:ilvl w:val="0"/>
          <w:numId w:val="39"/>
        </w:numPr>
        <w:spacing w:line="240" w:lineRule="auto"/>
        <w:ind w:left="360"/>
        <w:contextualSpacing/>
        <w:jc w:val="both"/>
      </w:pPr>
      <w:r>
        <w:t>Designated financial staff have access to aggregated analytical reports, strengthening financial oversight and management capacity.</w:t>
      </w:r>
    </w:p>
    <w:p w14:paraId="7C036072" w14:textId="77777777" w:rsidR="00466ED4" w:rsidRPr="00466ED4" w:rsidRDefault="00466ED4" w:rsidP="00466ED4">
      <w:pPr>
        <w:pStyle w:val="a0"/>
        <w:spacing w:line="240" w:lineRule="auto"/>
        <w:ind w:left="360"/>
        <w:contextualSpacing/>
        <w:jc w:val="both"/>
        <w:rPr>
          <w:i/>
          <w:iCs/>
        </w:rPr>
      </w:pPr>
    </w:p>
    <w:p w14:paraId="2143495E" w14:textId="77777777" w:rsidR="000D3A68" w:rsidRPr="00466ED4" w:rsidRDefault="000D3A68" w:rsidP="000D3A68">
      <w:pPr>
        <w:pStyle w:val="a0"/>
        <w:jc w:val="both"/>
        <w:rPr>
          <w:i/>
          <w:iCs/>
        </w:rPr>
      </w:pPr>
      <w:r w:rsidRPr="00466ED4">
        <w:rPr>
          <w:i/>
          <w:iCs/>
        </w:rPr>
        <w:t>4. Automated notifications and improved payment discipline</w:t>
      </w:r>
    </w:p>
    <w:p w14:paraId="302159C8" w14:textId="2D057D2D" w:rsidR="000D3A68" w:rsidRDefault="000D3A68" w:rsidP="000D3A68">
      <w:pPr>
        <w:pStyle w:val="a0"/>
        <w:jc w:val="both"/>
      </w:pPr>
      <w:r>
        <w:t>The system includes an automated notification function:</w:t>
      </w:r>
    </w:p>
    <w:p w14:paraId="20E1314D" w14:textId="2B6FE105" w:rsidR="000D3A68" w:rsidRDefault="000D3A68" w:rsidP="00466ED4">
      <w:pPr>
        <w:pStyle w:val="a0"/>
        <w:numPr>
          <w:ilvl w:val="0"/>
          <w:numId w:val="40"/>
        </w:numPr>
        <w:spacing w:line="240" w:lineRule="auto"/>
        <w:contextualSpacing/>
        <w:jc w:val="both"/>
      </w:pPr>
      <w:r>
        <w:t>leaseholders receive payment details upon generation of a payment code;</w:t>
      </w:r>
    </w:p>
    <w:p w14:paraId="7A2D0833" w14:textId="77777777" w:rsidR="000D3A68" w:rsidRDefault="000D3A68" w:rsidP="00466ED4">
      <w:pPr>
        <w:pStyle w:val="a0"/>
        <w:numPr>
          <w:ilvl w:val="0"/>
          <w:numId w:val="40"/>
        </w:numPr>
        <w:spacing w:line="240" w:lineRule="auto"/>
        <w:contextualSpacing/>
        <w:jc w:val="both"/>
      </w:pPr>
      <w:r>
        <w:lastRenderedPageBreak/>
        <w:t>overdue payments trigger automatic email reminders.</w:t>
      </w:r>
    </w:p>
    <w:p w14:paraId="7F9D2B2C" w14:textId="77777777" w:rsidR="00466ED4" w:rsidRDefault="00466ED4" w:rsidP="00466ED4">
      <w:pPr>
        <w:pStyle w:val="a0"/>
        <w:spacing w:line="240" w:lineRule="auto"/>
        <w:ind w:left="720"/>
        <w:contextualSpacing/>
        <w:jc w:val="both"/>
      </w:pPr>
    </w:p>
    <w:p w14:paraId="4D313954" w14:textId="67E39F05" w:rsidR="00A32AE1" w:rsidRPr="00A32AE1" w:rsidRDefault="000D3A68" w:rsidP="00AC1E7C">
      <w:pPr>
        <w:pStyle w:val="a0"/>
        <w:jc w:val="both"/>
      </w:pPr>
      <w:r>
        <w:t>This has contributed to improved payment discipline and reduced payment delays.</w:t>
      </w:r>
      <w:bookmarkEnd w:id="24"/>
    </w:p>
    <w:p w14:paraId="59727425" w14:textId="4342A3BB" w:rsidR="00B73673" w:rsidRDefault="00AC1E7C" w:rsidP="001B76BE">
      <w:pPr>
        <w:pStyle w:val="aff4"/>
        <w:jc w:val="both"/>
        <w:rPr>
          <w:rFonts w:ascii="Arial" w:hAnsi="Arial" w:cs="Arial"/>
          <w:sz w:val="22"/>
          <w:szCs w:val="22"/>
        </w:rPr>
      </w:pPr>
      <w:r>
        <w:rPr>
          <w:rFonts w:ascii="Arial" w:hAnsi="Arial" w:cs="Arial"/>
          <w:sz w:val="22"/>
          <w:szCs w:val="22"/>
        </w:rPr>
        <w:t>The updated AIS was put into f</w:t>
      </w:r>
      <w:r w:rsidR="00A32AE1" w:rsidRPr="00A32AE1">
        <w:rPr>
          <w:rFonts w:ascii="Arial" w:hAnsi="Arial" w:cs="Arial"/>
          <w:sz w:val="22"/>
          <w:szCs w:val="22"/>
        </w:rPr>
        <w:t xml:space="preserve">ull deployment and operationalization </w:t>
      </w:r>
      <w:r>
        <w:rPr>
          <w:rFonts w:ascii="Arial" w:hAnsi="Arial" w:cs="Arial"/>
          <w:sz w:val="22"/>
          <w:szCs w:val="22"/>
        </w:rPr>
        <w:t>at the en</w:t>
      </w:r>
      <w:r w:rsidR="000C1EB4">
        <w:rPr>
          <w:rFonts w:ascii="Arial" w:hAnsi="Arial" w:cs="Arial"/>
          <w:sz w:val="22"/>
          <w:szCs w:val="22"/>
        </w:rPr>
        <w:t xml:space="preserve">d of November 2025. The financial impact of the </w:t>
      </w:r>
      <w:r w:rsidR="004138CB">
        <w:rPr>
          <w:rFonts w:ascii="Arial" w:hAnsi="Arial" w:cs="Arial"/>
          <w:sz w:val="22"/>
          <w:szCs w:val="22"/>
        </w:rPr>
        <w:t>above-mentioned</w:t>
      </w:r>
      <w:r w:rsidR="000C1EB4">
        <w:rPr>
          <w:rFonts w:ascii="Arial" w:hAnsi="Arial" w:cs="Arial"/>
          <w:sz w:val="22"/>
          <w:szCs w:val="22"/>
        </w:rPr>
        <w:t xml:space="preserve"> changes will be further monitored</w:t>
      </w:r>
      <w:r w:rsidR="004138CB">
        <w:rPr>
          <w:rFonts w:ascii="Arial" w:hAnsi="Arial" w:cs="Arial"/>
          <w:sz w:val="22"/>
          <w:szCs w:val="22"/>
        </w:rPr>
        <w:t>.</w:t>
      </w:r>
    </w:p>
    <w:p w14:paraId="4A12A830" w14:textId="796EC761" w:rsidR="004138CB" w:rsidRPr="007969E9" w:rsidRDefault="004138CB" w:rsidP="004138CB">
      <w:pPr>
        <w:keepNext/>
        <w:numPr>
          <w:ilvl w:val="1"/>
          <w:numId w:val="6"/>
        </w:numPr>
        <w:tabs>
          <w:tab w:val="num" w:pos="360"/>
        </w:tabs>
        <w:spacing w:before="360" w:after="120" w:line="240" w:lineRule="auto"/>
        <w:ind w:left="709" w:hanging="709"/>
        <w:outlineLvl w:val="1"/>
        <w:rPr>
          <w:rFonts w:ascii="Arial" w:hAnsi="Arial" w:cs="Arial"/>
          <w:bCs/>
          <w:color w:val="098435"/>
          <w:sz w:val="32"/>
          <w:szCs w:val="32"/>
        </w:rPr>
      </w:pPr>
      <w:bookmarkStart w:id="190" w:name="_Toc219880848"/>
      <w:r w:rsidRPr="007969E9">
        <w:rPr>
          <w:rFonts w:ascii="Arial" w:hAnsi="Arial" w:cs="Arial"/>
          <w:bCs/>
          <w:color w:val="098435"/>
          <w:sz w:val="32"/>
          <w:szCs w:val="32"/>
        </w:rPr>
        <w:t xml:space="preserve">FS </w:t>
      </w:r>
      <w:r w:rsidR="00F31B2E">
        <w:rPr>
          <w:rFonts w:ascii="Arial" w:hAnsi="Arial" w:cs="Arial"/>
          <w:bCs/>
          <w:color w:val="098435"/>
          <w:sz w:val="32"/>
          <w:szCs w:val="32"/>
        </w:rPr>
        <w:t>10</w:t>
      </w:r>
      <w:r w:rsidRPr="007969E9">
        <w:rPr>
          <w:rFonts w:ascii="Arial" w:hAnsi="Arial" w:cs="Arial"/>
          <w:bCs/>
          <w:color w:val="098435"/>
          <w:sz w:val="32"/>
          <w:szCs w:val="32"/>
        </w:rPr>
        <w:t xml:space="preserve">: </w:t>
      </w:r>
      <w:r w:rsidR="006A2C4A">
        <w:rPr>
          <w:rFonts w:ascii="Arial" w:hAnsi="Arial" w:cs="Arial"/>
          <w:bCs/>
          <w:color w:val="098435"/>
          <w:sz w:val="32"/>
          <w:szCs w:val="32"/>
        </w:rPr>
        <w:t>Integrati</w:t>
      </w:r>
      <w:r w:rsidR="004E4215">
        <w:rPr>
          <w:rFonts w:ascii="Arial" w:hAnsi="Arial" w:cs="Arial"/>
          <w:bCs/>
          <w:color w:val="098435"/>
          <w:sz w:val="32"/>
          <w:szCs w:val="32"/>
        </w:rPr>
        <w:t xml:space="preserve">ng </w:t>
      </w:r>
      <w:r w:rsidR="003C00AE">
        <w:rPr>
          <w:rFonts w:ascii="Arial" w:hAnsi="Arial" w:cs="Arial"/>
          <w:bCs/>
          <w:color w:val="098435"/>
          <w:sz w:val="32"/>
          <w:szCs w:val="32"/>
        </w:rPr>
        <w:t>environmental considerations into the financial sector</w:t>
      </w:r>
      <w:bookmarkEnd w:id="190"/>
    </w:p>
    <w:p w14:paraId="7C025FC4" w14:textId="25D3F023" w:rsidR="009C441C" w:rsidRDefault="004138CB" w:rsidP="004138CB">
      <w:pPr>
        <w:jc w:val="both"/>
        <w:rPr>
          <w:rFonts w:ascii="Arial" w:hAnsi="Arial" w:cs="Arial"/>
        </w:rPr>
      </w:pPr>
      <w:r w:rsidRPr="00526731">
        <w:rPr>
          <w:rFonts w:ascii="Arial" w:hAnsi="Arial" w:cs="Arial"/>
        </w:rPr>
        <w:t>This financial solution</w:t>
      </w:r>
      <w:r w:rsidR="00722136">
        <w:rPr>
          <w:rFonts w:ascii="Arial" w:hAnsi="Arial" w:cs="Arial"/>
        </w:rPr>
        <w:t xml:space="preserve"> aims t</w:t>
      </w:r>
      <w:r w:rsidR="00722136" w:rsidRPr="00722136">
        <w:rPr>
          <w:rFonts w:ascii="Arial" w:hAnsi="Arial" w:cs="Arial"/>
        </w:rPr>
        <w:t xml:space="preserve">o integrate </w:t>
      </w:r>
      <w:r w:rsidR="00282F53">
        <w:rPr>
          <w:rFonts w:ascii="Arial" w:hAnsi="Arial" w:cs="Arial"/>
        </w:rPr>
        <w:t xml:space="preserve">ESG and </w:t>
      </w:r>
      <w:r w:rsidR="00722136" w:rsidRPr="00722136">
        <w:rPr>
          <w:rFonts w:ascii="Arial" w:hAnsi="Arial" w:cs="Arial"/>
        </w:rPr>
        <w:t>environmental</w:t>
      </w:r>
      <w:r w:rsidR="00282F53">
        <w:rPr>
          <w:rFonts w:ascii="Arial" w:hAnsi="Arial" w:cs="Arial"/>
        </w:rPr>
        <w:t xml:space="preserve"> risk</w:t>
      </w:r>
      <w:r w:rsidR="00722136" w:rsidRPr="00722136">
        <w:rPr>
          <w:rFonts w:ascii="Arial" w:hAnsi="Arial" w:cs="Arial"/>
        </w:rPr>
        <w:t xml:space="preserve"> considerations into the policies, supervision, and operations of the financial sector</w:t>
      </w:r>
      <w:r w:rsidR="00722136">
        <w:rPr>
          <w:rFonts w:ascii="Arial" w:hAnsi="Arial" w:cs="Arial"/>
        </w:rPr>
        <w:t xml:space="preserve"> players</w:t>
      </w:r>
      <w:r w:rsidR="00722136" w:rsidRPr="00722136">
        <w:rPr>
          <w:rFonts w:ascii="Arial" w:hAnsi="Arial" w:cs="Arial"/>
        </w:rPr>
        <w:t>, enabling the redirection of financial flows toward sustainable, nature-positive economic activities while strengthening financial system resilience.</w:t>
      </w:r>
    </w:p>
    <w:p w14:paraId="3372A829" w14:textId="11007AB5" w:rsidR="004138CB" w:rsidRPr="007969E9" w:rsidRDefault="003072C0" w:rsidP="004138CB">
      <w:pPr>
        <w:jc w:val="both"/>
        <w:rPr>
          <w:rFonts w:ascii="Arial" w:hAnsi="Arial" w:cs="Arial"/>
        </w:rPr>
      </w:pPr>
      <w:r>
        <w:rPr>
          <w:rFonts w:ascii="Arial" w:hAnsi="Arial" w:cs="Arial"/>
        </w:rPr>
        <w:t>As the 1</w:t>
      </w:r>
      <w:r w:rsidRPr="003072C0">
        <w:rPr>
          <w:rFonts w:ascii="Arial" w:hAnsi="Arial" w:cs="Arial"/>
          <w:vertAlign w:val="superscript"/>
        </w:rPr>
        <w:t>st</w:t>
      </w:r>
      <w:r>
        <w:rPr>
          <w:rFonts w:ascii="Arial" w:hAnsi="Arial" w:cs="Arial"/>
        </w:rPr>
        <w:t xml:space="preserve"> component of the FS</w:t>
      </w:r>
      <w:r w:rsidR="009B1DC0">
        <w:rPr>
          <w:rFonts w:ascii="Arial" w:hAnsi="Arial" w:cs="Arial"/>
        </w:rPr>
        <w:t>, the FS will focus supporting the National Bank of the Kyrgyz Republic</w:t>
      </w:r>
      <w:r w:rsidR="0094056F">
        <w:rPr>
          <w:rFonts w:ascii="Arial" w:hAnsi="Arial" w:cs="Arial"/>
        </w:rPr>
        <w:t xml:space="preserve"> to integrate the ESG principles into its policies and operations. </w:t>
      </w:r>
      <w:r w:rsidR="005754FD">
        <w:rPr>
          <w:rFonts w:ascii="Arial" w:hAnsi="Arial" w:cs="Arial"/>
        </w:rPr>
        <w:t>A</w:t>
      </w:r>
      <w:r w:rsidR="005754FD" w:rsidRPr="005754FD">
        <w:rPr>
          <w:rFonts w:ascii="Arial" w:hAnsi="Arial" w:cs="Arial"/>
        </w:rPr>
        <w:t>s the central bank and financial sector regulator, NBKR is uniquely positioned to mainstream environmental considerations across the banking and non-bank financial sectors, while also leading by example through its own institutional practices.</w:t>
      </w:r>
    </w:p>
    <w:p w14:paraId="50AA0B74" w14:textId="77777777" w:rsidR="004138CB" w:rsidRPr="007969E9" w:rsidRDefault="004138CB" w:rsidP="004138CB">
      <w:pPr>
        <w:pStyle w:val="af8"/>
        <w:keepNext/>
        <w:numPr>
          <w:ilvl w:val="1"/>
          <w:numId w:val="9"/>
        </w:numPr>
        <w:spacing w:before="360" w:after="120" w:line="240" w:lineRule="auto"/>
        <w:contextualSpacing w:val="0"/>
        <w:outlineLvl w:val="2"/>
        <w:rPr>
          <w:rFonts w:ascii="Arial" w:hAnsi="Arial" w:cs="Arial"/>
          <w:bCs/>
          <w:vanish/>
          <w:sz w:val="28"/>
          <w:szCs w:val="28"/>
        </w:rPr>
      </w:pPr>
      <w:bookmarkStart w:id="191" w:name="_Toc219874300"/>
      <w:bookmarkStart w:id="192" w:name="_Toc219875505"/>
      <w:bookmarkStart w:id="193" w:name="_Toc219880773"/>
      <w:bookmarkStart w:id="194" w:name="_Toc219880849"/>
      <w:bookmarkEnd w:id="191"/>
      <w:bookmarkEnd w:id="192"/>
      <w:bookmarkEnd w:id="193"/>
      <w:bookmarkEnd w:id="194"/>
    </w:p>
    <w:p w14:paraId="268643D3" w14:textId="77777777" w:rsidR="004138CB" w:rsidRPr="007969E9" w:rsidRDefault="004138CB" w:rsidP="004138CB">
      <w:pPr>
        <w:keepNext/>
        <w:numPr>
          <w:ilvl w:val="2"/>
          <w:numId w:val="9"/>
        </w:numPr>
        <w:spacing w:before="360" w:after="120" w:line="240" w:lineRule="auto"/>
        <w:ind w:left="504"/>
        <w:outlineLvl w:val="2"/>
        <w:rPr>
          <w:rFonts w:ascii="Arial" w:hAnsi="Arial" w:cs="Arial"/>
          <w:bCs/>
          <w:sz w:val="28"/>
          <w:szCs w:val="28"/>
        </w:rPr>
      </w:pPr>
      <w:bookmarkStart w:id="195" w:name="_Toc219880850"/>
      <w:r w:rsidRPr="007969E9">
        <w:rPr>
          <w:rFonts w:ascii="Arial" w:hAnsi="Arial" w:cs="Arial"/>
          <w:bCs/>
          <w:sz w:val="28"/>
          <w:szCs w:val="28"/>
        </w:rPr>
        <w:t>Activities and results related to output areas</w:t>
      </w:r>
      <w:bookmarkEnd w:id="195"/>
      <w:r w:rsidRPr="007969E9">
        <w:rPr>
          <w:rFonts w:ascii="Arial" w:hAnsi="Arial" w:cs="Arial"/>
          <w:bCs/>
          <w:sz w:val="28"/>
          <w:szCs w:val="28"/>
        </w:rPr>
        <w:t xml:space="preserve"> </w:t>
      </w:r>
    </w:p>
    <w:p w14:paraId="07E4B199" w14:textId="13A54BEB" w:rsidR="004138CB" w:rsidRDefault="004138CB" w:rsidP="004138CB">
      <w:pPr>
        <w:pStyle w:val="a0"/>
        <w:jc w:val="both"/>
      </w:pPr>
      <w:r w:rsidRPr="007969E9">
        <w:t xml:space="preserve">The key partner in implementation is </w:t>
      </w:r>
      <w:r w:rsidR="00421BC8">
        <w:t>National Bank of the Kyrgyz Republic</w:t>
      </w:r>
      <w:r w:rsidR="00911F6F">
        <w:t>.</w:t>
      </w:r>
    </w:p>
    <w:p w14:paraId="5C1F1950" w14:textId="77777777" w:rsidR="001E247B" w:rsidRDefault="003C0FA2" w:rsidP="003C0FA2">
      <w:pPr>
        <w:pStyle w:val="a0"/>
        <w:jc w:val="both"/>
      </w:pPr>
      <w:r w:rsidRPr="003C0FA2">
        <w:t xml:space="preserve">The objective of this intervention was to support the National Bank of the Kyrgyz Republic in systematically integrating Environmental, Social, and Governance (ESG) principles into its policies, operations, and supervisory practices, thereby strengthening its role as a driver of sustainable finance and financial system resilience. </w:t>
      </w:r>
    </w:p>
    <w:p w14:paraId="25DB1D3A" w14:textId="5A572479" w:rsidR="004138CB" w:rsidRDefault="003C0FA2" w:rsidP="003C0FA2">
      <w:pPr>
        <w:pStyle w:val="a0"/>
        <w:jc w:val="both"/>
      </w:pPr>
      <w:r w:rsidRPr="003C0FA2">
        <w:t>During the reporting period, a comprehensive institutional self-assessment was conducted across all structural divisions of the National Bank, followed by the development of a detailed ESG Roadmap outlining short-, medium-, and long-term actions, responsible units, resource needs, and risk mitigation measures. The Roadmap provides practical guidance on embedding ESG into monetary policy analysis, financial supervision, internal operations, procurement, reporting, and governance arrangements, aligned with international standards and the Sustainable Development Goals. As a result, the intervention established a coherent, evidence-based framework for ESG integration, enhanced institutional readiness and awareness, and laid the foundation for systematic ESG implementation, monitoring, and reporting, positioning the National Bank as a national benchmark for sustainable and responsible governance in the financial sector.</w:t>
      </w:r>
    </w:p>
    <w:p w14:paraId="447EA87D" w14:textId="738E435F" w:rsidR="004138CB" w:rsidRDefault="00194F15" w:rsidP="00766859">
      <w:pPr>
        <w:pStyle w:val="a0"/>
        <w:jc w:val="both"/>
      </w:pPr>
      <w:r>
        <w:t>The developed ESG integration roadmap was a</w:t>
      </w:r>
      <w:r w:rsidR="00D534A0">
        <w:t xml:space="preserve">pproved by the Management Board of the NBKR. In 2026, the </w:t>
      </w:r>
      <w:r w:rsidR="00CF2393">
        <w:t xml:space="preserve">training on ESG and practical instruments </w:t>
      </w:r>
      <w:r w:rsidR="00FC7438">
        <w:t xml:space="preserve">necessary for the roadmap </w:t>
      </w:r>
      <w:r w:rsidR="00FC7438">
        <w:lastRenderedPageBreak/>
        <w:t>implementation</w:t>
      </w:r>
      <w:r w:rsidR="00956708">
        <w:t xml:space="preserve"> will be conducted. In addition, following the discussion with the NBKR, the entry points for further cooperation with the NBKR will be identified.</w:t>
      </w:r>
    </w:p>
    <w:p w14:paraId="3E03181B" w14:textId="77777777" w:rsidR="000C1EB4" w:rsidRPr="00B73673" w:rsidRDefault="000C1EB4" w:rsidP="001B76BE">
      <w:pPr>
        <w:pStyle w:val="aff4"/>
        <w:jc w:val="both"/>
        <w:rPr>
          <w:rFonts w:ascii="Arial" w:hAnsi="Arial" w:cs="Arial"/>
          <w:sz w:val="22"/>
          <w:szCs w:val="22"/>
        </w:rPr>
      </w:pPr>
    </w:p>
    <w:p w14:paraId="34D65D52" w14:textId="54E6C639" w:rsidR="00F24A05" w:rsidRPr="007969E9" w:rsidRDefault="00F46024" w:rsidP="00DE22D5">
      <w:pPr>
        <w:pStyle w:val="1"/>
      </w:pPr>
      <w:bookmarkStart w:id="196" w:name="_Toc219880851"/>
      <w:r w:rsidRPr="007969E9">
        <w:t xml:space="preserve">Lessons learned and </w:t>
      </w:r>
      <w:r w:rsidR="007B1E15" w:rsidRPr="007969E9">
        <w:t>adaptive measures:</w:t>
      </w:r>
      <w:bookmarkEnd w:id="196"/>
    </w:p>
    <w:p w14:paraId="2FAE4FFF" w14:textId="77777777" w:rsidR="000C1EC4" w:rsidRPr="000C1EC4" w:rsidRDefault="000C1EC4" w:rsidP="000C1EC4">
      <w:pPr>
        <w:pStyle w:val="aff4"/>
        <w:rPr>
          <w:rFonts w:ascii="Arial" w:hAnsi="Arial" w:cs="Arial"/>
          <w:sz w:val="22"/>
          <w:szCs w:val="22"/>
          <w:lang w:bidi="en-US"/>
        </w:rPr>
      </w:pPr>
      <w:r w:rsidRPr="000C1EC4">
        <w:rPr>
          <w:rFonts w:ascii="Arial" w:hAnsi="Arial" w:cs="Arial"/>
          <w:sz w:val="22"/>
          <w:szCs w:val="22"/>
          <w:lang w:bidi="en-US"/>
        </w:rPr>
        <w:t>The implementation of various BIOFIN financial solutions in Kyrgyzstan has generated important lessons and informed adaptive measures for future work:</w:t>
      </w:r>
    </w:p>
    <w:p w14:paraId="4D3FC1D4" w14:textId="59AC4B0A" w:rsidR="000C1EC4" w:rsidRPr="000C1EC4" w:rsidRDefault="000C1EC4" w:rsidP="00C96B64">
      <w:pPr>
        <w:pStyle w:val="aff4"/>
        <w:numPr>
          <w:ilvl w:val="0"/>
          <w:numId w:val="31"/>
        </w:numPr>
        <w:jc w:val="both"/>
        <w:rPr>
          <w:rFonts w:ascii="Arial" w:hAnsi="Arial" w:cs="Arial"/>
          <w:sz w:val="22"/>
          <w:szCs w:val="22"/>
          <w:lang w:bidi="en-US"/>
        </w:rPr>
      </w:pPr>
      <w:r w:rsidRPr="000C1EC4">
        <w:rPr>
          <w:rFonts w:ascii="Arial" w:hAnsi="Arial" w:cs="Arial"/>
          <w:b/>
          <w:bCs/>
          <w:sz w:val="22"/>
          <w:szCs w:val="22"/>
          <w:lang w:bidi="en-US"/>
        </w:rPr>
        <w:t>Political will and institutional commitment are critical</w:t>
      </w:r>
      <w:r w:rsidRPr="000C1EC4">
        <w:rPr>
          <w:rFonts w:ascii="Arial" w:hAnsi="Arial" w:cs="Arial"/>
          <w:sz w:val="22"/>
          <w:szCs w:val="22"/>
          <w:lang w:bidi="en-US"/>
        </w:rPr>
        <w:t xml:space="preserve"> for the success of long-term biodiversity finance mechanisms. Progress on initiatives such as the Conservation Trust Fund (CTF) and subsidy reform has demonstrated that government support enables policy alignment, inter-agency cooperation, and stakeholder buy-in.</w:t>
      </w:r>
      <w:r w:rsidR="007258D0" w:rsidRPr="007258D0">
        <w:t xml:space="preserve"> </w:t>
      </w:r>
      <w:r w:rsidR="007258D0">
        <w:rPr>
          <w:rFonts w:ascii="Arial" w:hAnsi="Arial" w:cs="Arial"/>
          <w:sz w:val="22"/>
          <w:szCs w:val="22"/>
          <w:lang w:bidi="en-US"/>
        </w:rPr>
        <w:t>W</w:t>
      </w:r>
      <w:r w:rsidR="007258D0" w:rsidRPr="007258D0">
        <w:rPr>
          <w:rFonts w:ascii="Arial" w:hAnsi="Arial" w:cs="Arial"/>
          <w:sz w:val="22"/>
          <w:szCs w:val="22"/>
          <w:lang w:bidi="en-US"/>
        </w:rPr>
        <w:t>e’re currently exploring the cooperation with the government agency</w:t>
      </w:r>
      <w:r w:rsidR="007258D0">
        <w:rPr>
          <w:rFonts w:ascii="Arial" w:hAnsi="Arial" w:cs="Arial"/>
          <w:sz w:val="22"/>
          <w:szCs w:val="22"/>
          <w:lang w:bidi="en-US"/>
        </w:rPr>
        <w:t xml:space="preserve"> </w:t>
      </w:r>
      <w:r w:rsidR="007258D0" w:rsidRPr="007258D0">
        <w:rPr>
          <w:rFonts w:ascii="Arial" w:hAnsi="Arial" w:cs="Arial"/>
          <w:sz w:val="22"/>
          <w:szCs w:val="22"/>
          <w:lang w:bidi="en-US"/>
        </w:rPr>
        <w:t xml:space="preserve">to carry out the implementation of </w:t>
      </w:r>
      <w:r w:rsidR="00984613">
        <w:rPr>
          <w:rFonts w:ascii="Arial" w:hAnsi="Arial" w:cs="Arial"/>
          <w:sz w:val="22"/>
          <w:szCs w:val="22"/>
          <w:lang w:bidi="en-US"/>
        </w:rPr>
        <w:t xml:space="preserve">the </w:t>
      </w:r>
      <w:r w:rsidR="00C96B64" w:rsidRPr="007258D0">
        <w:rPr>
          <w:rFonts w:ascii="Arial" w:hAnsi="Arial" w:cs="Arial"/>
          <w:sz w:val="22"/>
          <w:szCs w:val="22"/>
          <w:lang w:bidi="en-US"/>
        </w:rPr>
        <w:t>financial</w:t>
      </w:r>
      <w:r w:rsidR="007258D0" w:rsidRPr="007258D0">
        <w:rPr>
          <w:rFonts w:ascii="Arial" w:hAnsi="Arial" w:cs="Arial"/>
          <w:sz w:val="22"/>
          <w:szCs w:val="22"/>
          <w:lang w:bidi="en-US"/>
        </w:rPr>
        <w:t xml:space="preserve"> solution </w:t>
      </w:r>
      <w:r w:rsidR="00984613">
        <w:rPr>
          <w:rFonts w:ascii="Arial" w:hAnsi="Arial" w:cs="Arial"/>
          <w:sz w:val="22"/>
          <w:szCs w:val="22"/>
          <w:lang w:bidi="en-US"/>
        </w:rPr>
        <w:t xml:space="preserve">on Harmful subsidies </w:t>
      </w:r>
      <w:r w:rsidR="00C96B64" w:rsidRPr="007258D0">
        <w:rPr>
          <w:rFonts w:ascii="Arial" w:hAnsi="Arial" w:cs="Arial"/>
          <w:sz w:val="22"/>
          <w:szCs w:val="22"/>
          <w:lang w:bidi="en-US"/>
        </w:rPr>
        <w:t>as Responsible</w:t>
      </w:r>
      <w:r w:rsidR="007258D0" w:rsidRPr="007258D0">
        <w:rPr>
          <w:rFonts w:ascii="Arial" w:hAnsi="Arial" w:cs="Arial"/>
          <w:sz w:val="22"/>
          <w:szCs w:val="22"/>
          <w:lang w:bidi="en-US"/>
        </w:rPr>
        <w:t xml:space="preserve"> Party.</w:t>
      </w:r>
    </w:p>
    <w:p w14:paraId="21FBB3D7" w14:textId="77777777" w:rsidR="000C1EC4" w:rsidRPr="000C1EC4" w:rsidRDefault="000C1EC4" w:rsidP="00C96B64">
      <w:pPr>
        <w:pStyle w:val="aff4"/>
        <w:numPr>
          <w:ilvl w:val="0"/>
          <w:numId w:val="31"/>
        </w:numPr>
        <w:jc w:val="both"/>
        <w:rPr>
          <w:rFonts w:ascii="Arial" w:hAnsi="Arial" w:cs="Arial"/>
          <w:sz w:val="22"/>
          <w:szCs w:val="22"/>
          <w:lang w:bidi="en-US"/>
        </w:rPr>
      </w:pPr>
      <w:r w:rsidRPr="000C1EC4">
        <w:rPr>
          <w:rFonts w:ascii="Arial" w:hAnsi="Arial" w:cs="Arial"/>
          <w:b/>
          <w:bCs/>
          <w:sz w:val="22"/>
          <w:szCs w:val="22"/>
          <w:lang w:bidi="en-US"/>
        </w:rPr>
        <w:t>Legal, regulatory, and operational readiness must be assessed early.</w:t>
      </w:r>
      <w:r w:rsidRPr="000C1EC4">
        <w:rPr>
          <w:rFonts w:ascii="Arial" w:hAnsi="Arial" w:cs="Arial"/>
          <w:sz w:val="22"/>
          <w:szCs w:val="22"/>
          <w:lang w:bidi="en-US"/>
        </w:rPr>
        <w:t xml:space="preserve"> Several solutions, including the CTF and digitalization initiatives, faced delays due to legal or technical barriers. Early feasibility studies, flexible design, and interim mechanisms (e.g. use of the UN MPTF) proved essential to mitigate risks.</w:t>
      </w:r>
    </w:p>
    <w:p w14:paraId="502F0011" w14:textId="77777777" w:rsidR="000C1EC4" w:rsidRPr="000C1EC4" w:rsidRDefault="000C1EC4" w:rsidP="00C96B64">
      <w:pPr>
        <w:pStyle w:val="aff4"/>
        <w:numPr>
          <w:ilvl w:val="0"/>
          <w:numId w:val="31"/>
        </w:numPr>
        <w:jc w:val="both"/>
        <w:rPr>
          <w:rFonts w:ascii="Arial" w:hAnsi="Arial" w:cs="Arial"/>
          <w:sz w:val="22"/>
          <w:szCs w:val="22"/>
          <w:lang w:bidi="en-US"/>
        </w:rPr>
      </w:pPr>
      <w:r w:rsidRPr="000C1EC4">
        <w:rPr>
          <w:rFonts w:ascii="Arial" w:hAnsi="Arial" w:cs="Arial"/>
          <w:b/>
          <w:bCs/>
          <w:sz w:val="22"/>
          <w:szCs w:val="22"/>
          <w:lang w:bidi="en-US"/>
        </w:rPr>
        <w:t>Capacity building is not a one-time activity.</w:t>
      </w:r>
      <w:r w:rsidRPr="000C1EC4">
        <w:rPr>
          <w:rFonts w:ascii="Arial" w:hAnsi="Arial" w:cs="Arial"/>
          <w:sz w:val="22"/>
          <w:szCs w:val="22"/>
          <w:lang w:bidi="en-US"/>
        </w:rPr>
        <w:t xml:space="preserve"> Sustained implementation of tools like program-based budgeting requires ongoing training and institutionalization to ensure long-term impact.</w:t>
      </w:r>
    </w:p>
    <w:p w14:paraId="6376792E" w14:textId="67F6A58A" w:rsidR="000C1EC4" w:rsidRPr="000C1EC4" w:rsidRDefault="000C1EC4" w:rsidP="00C96B64">
      <w:pPr>
        <w:pStyle w:val="aff4"/>
        <w:numPr>
          <w:ilvl w:val="0"/>
          <w:numId w:val="31"/>
        </w:numPr>
        <w:jc w:val="both"/>
        <w:rPr>
          <w:rFonts w:ascii="Arial" w:hAnsi="Arial" w:cs="Arial"/>
          <w:sz w:val="22"/>
          <w:szCs w:val="22"/>
          <w:lang w:bidi="en-US"/>
        </w:rPr>
      </w:pPr>
      <w:r w:rsidRPr="000C1EC4">
        <w:rPr>
          <w:rFonts w:ascii="Arial" w:hAnsi="Arial" w:cs="Arial"/>
          <w:b/>
          <w:bCs/>
          <w:sz w:val="22"/>
          <w:szCs w:val="22"/>
          <w:lang w:bidi="en-US"/>
        </w:rPr>
        <w:t>Public and stakeholder engagement enhances effectiveness.</w:t>
      </w:r>
      <w:r w:rsidRPr="000C1EC4">
        <w:rPr>
          <w:rFonts w:ascii="Arial" w:hAnsi="Arial" w:cs="Arial"/>
          <w:sz w:val="22"/>
          <w:szCs w:val="22"/>
          <w:lang w:bidi="en-US"/>
        </w:rPr>
        <w:t xml:space="preserve"> Nationwide consultations, surveys, and communications campaigns </w:t>
      </w:r>
      <w:r w:rsidR="00984613">
        <w:rPr>
          <w:rFonts w:ascii="Arial" w:hAnsi="Arial" w:cs="Arial"/>
          <w:sz w:val="22"/>
          <w:szCs w:val="22"/>
          <w:lang w:bidi="en-US"/>
        </w:rPr>
        <w:t>are</w:t>
      </w:r>
      <w:r w:rsidRPr="000C1EC4">
        <w:rPr>
          <w:rFonts w:ascii="Arial" w:hAnsi="Arial" w:cs="Arial"/>
          <w:sz w:val="22"/>
          <w:szCs w:val="22"/>
          <w:lang w:bidi="en-US"/>
        </w:rPr>
        <w:t xml:space="preserve"> key to building awareness and support for reform measures, particularly around harmful subsidies.</w:t>
      </w:r>
    </w:p>
    <w:p w14:paraId="410B210C" w14:textId="0E6B21B4" w:rsidR="00F24A05" w:rsidRPr="007969E9" w:rsidRDefault="00677D38" w:rsidP="00DE22D5">
      <w:pPr>
        <w:pStyle w:val="1"/>
      </w:pPr>
      <w:bookmarkStart w:id="197" w:name="_Toc219880852"/>
      <w:r w:rsidRPr="007969E9">
        <w:t>Risks</w:t>
      </w:r>
      <w:bookmarkEnd w:id="197"/>
    </w:p>
    <w:p w14:paraId="26A8CCC2" w14:textId="148AEEED" w:rsidR="00677D38" w:rsidRPr="007969E9" w:rsidRDefault="00677D38" w:rsidP="00677D38">
      <w:pPr>
        <w:pStyle w:val="20"/>
      </w:pPr>
      <w:bookmarkStart w:id="198" w:name="_Toc219880853"/>
      <w:r w:rsidRPr="007969E9">
        <w:t xml:space="preserve">Programmatic risks (risks </w:t>
      </w:r>
      <w:r w:rsidRPr="007969E9">
        <w:rPr>
          <w:i/>
          <w:iCs/>
        </w:rPr>
        <w:t>to</w:t>
      </w:r>
      <w:r w:rsidRPr="007969E9">
        <w:t xml:space="preserve"> the </w:t>
      </w:r>
      <w:r w:rsidR="008E7F0F" w:rsidRPr="007969E9">
        <w:t>programme</w:t>
      </w:r>
      <w:r w:rsidRPr="007969E9">
        <w:t>)</w:t>
      </w:r>
      <w:bookmarkEnd w:id="198"/>
    </w:p>
    <w:p w14:paraId="48E81CB6" w14:textId="77777777" w:rsidR="00B67DD9" w:rsidRDefault="00186B0D" w:rsidP="00B67DD9">
      <w:pPr>
        <w:jc w:val="both"/>
      </w:pPr>
      <w:r w:rsidRPr="00186B0D">
        <w:rPr>
          <w:rFonts w:ascii="Arial" w:hAnsi="Arial" w:cs="Arial"/>
        </w:rPr>
        <w:t xml:space="preserve">Frequent changes </w:t>
      </w:r>
      <w:r>
        <w:rPr>
          <w:rFonts w:ascii="Arial" w:hAnsi="Arial" w:cs="Arial"/>
        </w:rPr>
        <w:t xml:space="preserve">of </w:t>
      </w:r>
      <w:r w:rsidRPr="00186B0D">
        <w:rPr>
          <w:rFonts w:ascii="Arial" w:hAnsi="Arial" w:cs="Arial"/>
        </w:rPr>
        <w:t>key project focal points</w:t>
      </w:r>
      <w:r w:rsidR="00246B0D">
        <w:rPr>
          <w:rFonts w:ascii="Arial" w:hAnsi="Arial" w:cs="Arial"/>
        </w:rPr>
        <w:t xml:space="preserve"> from the national partners</w:t>
      </w:r>
      <w:r w:rsidRPr="00186B0D">
        <w:rPr>
          <w:rFonts w:ascii="Arial" w:hAnsi="Arial" w:cs="Arial"/>
        </w:rPr>
        <w:t xml:space="preserve">—represent a high-likelihood, high-impact programmatic risk that has already led to delays in the implementation of several Financial Solutions. </w:t>
      </w:r>
      <w:r w:rsidR="000B3F71" w:rsidRPr="000B3F71">
        <w:rPr>
          <w:rFonts w:ascii="Arial" w:hAnsi="Arial" w:cs="Arial"/>
        </w:rPr>
        <w:t xml:space="preserve">These institutional shifts often disrupt continuity, undermine institutional memory, and require repeated onboarding and advocacy efforts. During the reporting period, </w:t>
      </w:r>
      <w:r w:rsidR="00CD5D1D">
        <w:rPr>
          <w:rFonts w:ascii="Arial" w:hAnsi="Arial" w:cs="Arial"/>
        </w:rPr>
        <w:t>the key focal point from the</w:t>
      </w:r>
      <w:r w:rsidR="000B3F71" w:rsidRPr="000B3F71">
        <w:rPr>
          <w:rFonts w:ascii="Arial" w:hAnsi="Arial" w:cs="Arial"/>
        </w:rPr>
        <w:t xml:space="preserve"> senior management </w:t>
      </w:r>
      <w:r w:rsidR="001A457B">
        <w:rPr>
          <w:rFonts w:ascii="Arial" w:hAnsi="Arial" w:cs="Arial"/>
        </w:rPr>
        <w:t xml:space="preserve">of the Ministry of Finance and </w:t>
      </w:r>
      <w:r w:rsidR="000B3F71" w:rsidRPr="000B3F71">
        <w:rPr>
          <w:rFonts w:ascii="Arial" w:hAnsi="Arial" w:cs="Arial"/>
        </w:rPr>
        <w:t xml:space="preserve">the Forest Service </w:t>
      </w:r>
      <w:r w:rsidR="00CD5D1D">
        <w:rPr>
          <w:rFonts w:ascii="Arial" w:hAnsi="Arial" w:cs="Arial"/>
        </w:rPr>
        <w:t>w</w:t>
      </w:r>
      <w:r w:rsidR="00C56DAA">
        <w:rPr>
          <w:rFonts w:ascii="Arial" w:hAnsi="Arial" w:cs="Arial"/>
        </w:rPr>
        <w:t>ere</w:t>
      </w:r>
      <w:r w:rsidR="00CD5D1D">
        <w:rPr>
          <w:rFonts w:ascii="Arial" w:hAnsi="Arial" w:cs="Arial"/>
        </w:rPr>
        <w:t xml:space="preserve"> </w:t>
      </w:r>
      <w:r w:rsidR="001A457B">
        <w:rPr>
          <w:rFonts w:ascii="Arial" w:hAnsi="Arial" w:cs="Arial"/>
        </w:rPr>
        <w:t xml:space="preserve">replaced. </w:t>
      </w:r>
      <w:r w:rsidR="000B3F71" w:rsidRPr="000B3F71">
        <w:rPr>
          <w:rFonts w:ascii="Arial" w:hAnsi="Arial" w:cs="Arial"/>
        </w:rPr>
        <w:t>New appointees frequently lack a background in biodiversity conservation, making it challenging for them to fully grasp the importance of conservation financing or to prioritize the implementation of related measures.</w:t>
      </w:r>
      <w:r w:rsidR="00C56DAA">
        <w:rPr>
          <w:rFonts w:ascii="Arial" w:hAnsi="Arial" w:cs="Arial"/>
        </w:rPr>
        <w:t xml:space="preserve"> </w:t>
      </w:r>
      <w:r w:rsidR="006A7918" w:rsidRPr="006A7918">
        <w:rPr>
          <w:rFonts w:ascii="Arial" w:hAnsi="Arial" w:cs="Arial"/>
        </w:rPr>
        <w:t>To mitigate this, the project team maintains continuous coordination with multiple staff members within partner institutions to build and retain institutional memory and ensure progress despite personnel turnover.</w:t>
      </w:r>
      <w:r w:rsidR="00B67DD9" w:rsidRPr="00B67DD9">
        <w:t xml:space="preserve"> </w:t>
      </w:r>
    </w:p>
    <w:p w14:paraId="2C23994F" w14:textId="705DA285" w:rsidR="00B67DD9" w:rsidRPr="00B67DD9" w:rsidRDefault="00B67DD9" w:rsidP="00B67DD9">
      <w:pPr>
        <w:jc w:val="both"/>
        <w:rPr>
          <w:rFonts w:ascii="Arial" w:hAnsi="Arial" w:cs="Arial"/>
        </w:rPr>
      </w:pPr>
      <w:r w:rsidRPr="00B67DD9">
        <w:rPr>
          <w:rFonts w:ascii="Arial" w:hAnsi="Arial" w:cs="Arial"/>
        </w:rPr>
        <w:t xml:space="preserve">Additionally, a broader political risk lies in the limited political will to adopt and advance recommendations related to biodiversity finance. Amid shifting geopolitical dynamics and growing pressure to address immediate economic and security concerns, government </w:t>
      </w:r>
      <w:r w:rsidRPr="00B67DD9">
        <w:rPr>
          <w:rFonts w:ascii="Arial" w:hAnsi="Arial" w:cs="Arial"/>
        </w:rPr>
        <w:lastRenderedPageBreak/>
        <w:t xml:space="preserve">priorities have increasingly shifted toward sectors perceived as more urgent. This has resulted in </w:t>
      </w:r>
      <w:r w:rsidR="007A2DE1">
        <w:rPr>
          <w:rFonts w:ascii="Arial" w:hAnsi="Arial" w:cs="Arial"/>
        </w:rPr>
        <w:t>continuously</w:t>
      </w:r>
      <w:r w:rsidR="00A70DAD">
        <w:rPr>
          <w:rFonts w:ascii="Arial" w:hAnsi="Arial" w:cs="Arial"/>
        </w:rPr>
        <w:t xml:space="preserve"> </w:t>
      </w:r>
      <w:r w:rsidRPr="00B67DD9">
        <w:rPr>
          <w:rFonts w:ascii="Arial" w:hAnsi="Arial" w:cs="Arial"/>
        </w:rPr>
        <w:t>reduced state budget allocations for the environmental sector, which is often categorized as a low or non-priority area. In this fiscal climate, efforts to reform public budgeting procedures, including results-based and program-based budgeting for conservation, face significant challenges due to limited financial resources and lack of high-level support.</w:t>
      </w:r>
    </w:p>
    <w:p w14:paraId="53DC5A69" w14:textId="6CBD428A" w:rsidR="00C56DAA" w:rsidRDefault="00B67DD9" w:rsidP="00B67DD9">
      <w:pPr>
        <w:jc w:val="both"/>
        <w:rPr>
          <w:rFonts w:ascii="Arial" w:hAnsi="Arial" w:cs="Arial"/>
        </w:rPr>
      </w:pPr>
      <w:r w:rsidRPr="00B67DD9">
        <w:rPr>
          <w:rFonts w:ascii="Arial" w:hAnsi="Arial" w:cs="Arial"/>
        </w:rPr>
        <w:t>To address these risks, BIOFIN will continue its engagement with high-level stakeholders, integrate biodiversity finance measures into national development frameworks (e.g., the Green Economy Program and NBSAP), and align conservation financing efforts with broader sustainable development and economic recovery goals.</w:t>
      </w:r>
    </w:p>
    <w:p w14:paraId="0268C71D" w14:textId="1D4E43C9" w:rsidR="00677D38" w:rsidRPr="007969E9" w:rsidRDefault="00677D38" w:rsidP="00677D38">
      <w:pPr>
        <w:pStyle w:val="20"/>
      </w:pPr>
      <w:bookmarkStart w:id="199" w:name="_Toc219880854"/>
      <w:r w:rsidRPr="007969E9">
        <w:t>Social and environmental risks (</w:t>
      </w:r>
      <w:r w:rsidRPr="007969E9">
        <w:rPr>
          <w:i/>
          <w:iCs/>
        </w:rPr>
        <w:t>of</w:t>
      </w:r>
      <w:r w:rsidRPr="007969E9">
        <w:t xml:space="preserve"> the </w:t>
      </w:r>
      <w:r w:rsidR="008E7F0F" w:rsidRPr="007969E9">
        <w:t>programme</w:t>
      </w:r>
      <w:r w:rsidRPr="007969E9">
        <w:t>)</w:t>
      </w:r>
      <w:bookmarkEnd w:id="199"/>
    </w:p>
    <w:p w14:paraId="090CA18D" w14:textId="53FD45C8" w:rsidR="00934C5D" w:rsidRDefault="00934C5D" w:rsidP="00BD0945">
      <w:pPr>
        <w:jc w:val="both"/>
        <w:rPr>
          <w:rFonts w:ascii="Arial" w:hAnsi="Arial" w:cs="Arial"/>
        </w:rPr>
      </w:pPr>
      <w:r w:rsidRPr="00934C5D">
        <w:rPr>
          <w:rFonts w:ascii="Arial" w:hAnsi="Arial" w:cs="Arial"/>
        </w:rPr>
        <w:t>The programme is designed to enhance biodiversity conservation and sustainable financing and, as such, is expected to have positive social and environmental outcomes. However, some components may carry limited risks if not carefully managed. For example, efforts to reform or repurpose harmful subsidies could indirectly affect the livelihoods of vulnerable populations. If these reforms are introduced without adequate social safeguards or compensatory measures, there may be unintended socioeconomic consequences.</w:t>
      </w:r>
      <w:r w:rsidR="0083041E">
        <w:rPr>
          <w:rFonts w:ascii="Arial" w:hAnsi="Arial" w:cs="Arial"/>
        </w:rPr>
        <w:t xml:space="preserve"> Therefore, the program fill </w:t>
      </w:r>
      <w:r w:rsidR="00CD329D">
        <w:rPr>
          <w:rFonts w:ascii="Arial" w:hAnsi="Arial" w:cs="Arial"/>
        </w:rPr>
        <w:t xml:space="preserve">thoroughly assess this impact to mitigate this risk. </w:t>
      </w:r>
      <w:r w:rsidR="0080177B">
        <w:rPr>
          <w:rFonts w:ascii="Arial" w:hAnsi="Arial" w:cs="Arial"/>
        </w:rPr>
        <w:t>As mentioned in the Section related to Harmful subsidies, we plan to conduct the broad survey among the targeted group of population which will provide insights to manage this risk.</w:t>
      </w:r>
    </w:p>
    <w:p w14:paraId="039546AB" w14:textId="77777777" w:rsidR="005A1343" w:rsidRDefault="005A1343" w:rsidP="00BD0945">
      <w:pPr>
        <w:jc w:val="both"/>
        <w:rPr>
          <w:rFonts w:ascii="Arial" w:hAnsi="Arial" w:cs="Arial"/>
        </w:rPr>
      </w:pPr>
      <w:r w:rsidRPr="005A1343">
        <w:rPr>
          <w:rFonts w:ascii="Arial" w:hAnsi="Arial" w:cs="Arial"/>
        </w:rPr>
        <w:t>Special attention is given to ensuring that the needs and perspectives of vulnerable groups are considered in policy design and implementation. Additionally, environmental safeguards are upheld in all technical and feasibility assessments to ensure that new financing mechanisms do not result in adverse ecological impacts or undermine existing conservation objectives. Overall, the programme’s risk profile remains low, with safeguards in place to ensure that its social and environmental impacts are positive and equitable.</w:t>
      </w:r>
    </w:p>
    <w:p w14:paraId="36416599" w14:textId="7393FEFD" w:rsidR="006100BE" w:rsidRPr="007969E9" w:rsidRDefault="006100BE" w:rsidP="002D20E7">
      <w:pPr>
        <w:pStyle w:val="1"/>
        <w:numPr>
          <w:ilvl w:val="0"/>
          <w:numId w:val="0"/>
        </w:numPr>
      </w:pPr>
      <w:bookmarkStart w:id="200" w:name="_Toc219880855"/>
      <w:r w:rsidRPr="007969E9">
        <w:t>List of annexes and related notes</w:t>
      </w:r>
      <w:bookmarkEnd w:id="200"/>
    </w:p>
    <w:p w14:paraId="0FAA2BB2" w14:textId="570B022A" w:rsidR="00D01D13" w:rsidRPr="007969E9" w:rsidRDefault="00D01D13" w:rsidP="00D01D13">
      <w:pPr>
        <w:pStyle w:val="a0"/>
      </w:pPr>
      <w:r w:rsidRPr="007969E9">
        <w:t>The following annexes are included in this report</w:t>
      </w:r>
      <w:r w:rsidR="007C3D71" w:rsidRPr="007969E9">
        <w:t>:</w:t>
      </w:r>
    </w:p>
    <w:p w14:paraId="61177A8E" w14:textId="5C0C244C" w:rsidR="006100BE" w:rsidRPr="007969E9" w:rsidRDefault="006100BE" w:rsidP="00604B16">
      <w:pPr>
        <w:pStyle w:val="20"/>
        <w:numPr>
          <w:ilvl w:val="0"/>
          <w:numId w:val="0"/>
        </w:numPr>
        <w:ind w:left="709" w:hanging="709"/>
      </w:pPr>
      <w:bookmarkStart w:id="201" w:name="_Toc219880856"/>
      <w:r w:rsidRPr="007969E9">
        <w:rPr>
          <w:b/>
        </w:rPr>
        <w:t xml:space="preserve">Annex </w:t>
      </w:r>
      <w:r w:rsidR="00877C0C" w:rsidRPr="007969E9">
        <w:rPr>
          <w:b/>
        </w:rPr>
        <w:t>1</w:t>
      </w:r>
      <w:r w:rsidRPr="007969E9">
        <w:t>: Indicator Tracking Table (in Excel)</w:t>
      </w:r>
      <w:bookmarkEnd w:id="201"/>
    </w:p>
    <w:p w14:paraId="20CD22D0" w14:textId="51F848AA" w:rsidR="003B39B6" w:rsidRPr="007969E9" w:rsidRDefault="003B39B6" w:rsidP="00103F5F">
      <w:pPr>
        <w:pStyle w:val="Bullet2"/>
        <w:numPr>
          <w:ilvl w:val="0"/>
          <w:numId w:val="0"/>
        </w:numPr>
        <w:rPr>
          <w:rFonts w:ascii="Arial" w:hAnsi="Arial" w:cs="Arial"/>
        </w:rPr>
      </w:pPr>
    </w:p>
    <w:p w14:paraId="72600272" w14:textId="4945027F" w:rsidR="003B39B6" w:rsidRPr="007969E9" w:rsidRDefault="003B39B6" w:rsidP="00BB1DA3">
      <w:pPr>
        <w:pStyle w:val="Bullet2"/>
        <w:numPr>
          <w:ilvl w:val="0"/>
          <w:numId w:val="0"/>
        </w:numPr>
        <w:rPr>
          <w:rFonts w:ascii="Arial" w:hAnsi="Arial" w:cs="Arial"/>
        </w:rPr>
        <w:sectPr w:rsidR="003B39B6" w:rsidRPr="007969E9" w:rsidSect="002B391B">
          <w:headerReference w:type="default" r:id="rId16"/>
          <w:footerReference w:type="default" r:id="rId17"/>
          <w:pgSz w:w="11900" w:h="16840" w:code="9"/>
          <w:pgMar w:top="1985" w:right="1418" w:bottom="1418" w:left="1418" w:header="851" w:footer="851" w:gutter="0"/>
          <w:pgNumType w:start="1"/>
          <w:cols w:space="708"/>
          <w:docGrid w:linePitch="299"/>
        </w:sectPr>
      </w:pPr>
    </w:p>
    <w:p w14:paraId="43CE7141" w14:textId="0575CF05" w:rsidR="00F73FF1" w:rsidRPr="007969E9" w:rsidRDefault="00F73FF1" w:rsidP="00F73FF1">
      <w:pPr>
        <w:tabs>
          <w:tab w:val="left" w:pos="9640"/>
        </w:tabs>
        <w:rPr>
          <w:rFonts w:ascii="Arial" w:hAnsi="Arial" w:cs="Arial"/>
          <w:lang w:val="en-AU" w:eastAsia="id-ID"/>
        </w:rPr>
      </w:pPr>
      <w:r w:rsidRPr="007969E9">
        <w:rPr>
          <w:rFonts w:ascii="Arial" w:hAnsi="Arial" w:cs="Arial"/>
          <w:noProof/>
          <w:lang w:val="en-AU" w:eastAsia="id-ID"/>
        </w:rPr>
        <w:lastRenderedPageBreak/>
        <w:drawing>
          <wp:anchor distT="0" distB="0" distL="114300" distR="114300" simplePos="0" relativeHeight="251685376" behindDoc="0" locked="0" layoutInCell="1" allowOverlap="1" wp14:anchorId="3C9EBD2C" wp14:editId="07A76AE9">
            <wp:simplePos x="0" y="0"/>
            <wp:positionH relativeFrom="column">
              <wp:posOffset>2940685</wp:posOffset>
            </wp:positionH>
            <wp:positionV relativeFrom="paragraph">
              <wp:posOffset>627380</wp:posOffset>
            </wp:positionV>
            <wp:extent cx="1675790" cy="483250"/>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679501" cy="484320"/>
                    </a:xfrm>
                    <a:prstGeom prst="rect">
                      <a:avLst/>
                    </a:prstGeom>
                  </pic:spPr>
                </pic:pic>
              </a:graphicData>
            </a:graphic>
            <wp14:sizeRelH relativeFrom="page">
              <wp14:pctWidth>0</wp14:pctWidth>
            </wp14:sizeRelH>
            <wp14:sizeRelV relativeFrom="page">
              <wp14:pctHeight>0</wp14:pctHeight>
            </wp14:sizeRelV>
          </wp:anchor>
        </w:drawing>
      </w:r>
      <w:r w:rsidRPr="007969E9">
        <w:rPr>
          <w:rFonts w:ascii="Arial" w:hAnsi="Arial" w:cs="Arial"/>
          <w:lang w:val="en-AU" w:eastAsia="id-ID"/>
        </w:rPr>
        <w:tab/>
      </w:r>
    </w:p>
    <w:sectPr w:rsidR="00F73FF1" w:rsidRPr="007969E9" w:rsidSect="002B391B">
      <w:headerReference w:type="default" r:id="rId19"/>
      <w:pgSz w:w="11900" w:h="16840" w:code="9"/>
      <w:pgMar w:top="1418" w:right="0" w:bottom="1701" w:left="0" w:header="0" w:footer="0"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F4311" w14:textId="77777777" w:rsidR="00AE7ACC" w:rsidRDefault="00AE7ACC" w:rsidP="00531CC4">
      <w:r>
        <w:separator/>
      </w:r>
    </w:p>
    <w:p w14:paraId="196CCDF4" w14:textId="77777777" w:rsidR="00AE7ACC" w:rsidRDefault="00AE7ACC" w:rsidP="00531CC4"/>
    <w:p w14:paraId="7E25B6F8" w14:textId="77777777" w:rsidR="00AE7ACC" w:rsidRDefault="00AE7ACC" w:rsidP="00531CC4"/>
  </w:endnote>
  <w:endnote w:type="continuationSeparator" w:id="0">
    <w:p w14:paraId="1AE94466" w14:textId="77777777" w:rsidR="00AE7ACC" w:rsidRDefault="00AE7ACC" w:rsidP="00531CC4">
      <w:r>
        <w:continuationSeparator/>
      </w:r>
    </w:p>
    <w:p w14:paraId="01F1AC90" w14:textId="77777777" w:rsidR="00AE7ACC" w:rsidRDefault="00AE7ACC" w:rsidP="00531CC4"/>
    <w:p w14:paraId="2F75C9EF" w14:textId="77777777" w:rsidR="00AE7ACC" w:rsidRDefault="00AE7ACC" w:rsidP="00531C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MT">
    <w:altName w:val="Arial"/>
    <w:charset w:val="00"/>
    <w:family w:val="auto"/>
    <w:pitch w:val="variable"/>
    <w:sig w:usb0="00000087" w:usb1="00000000" w:usb2="00000000" w:usb3="00000000" w:csb0="0000001B" w:csb1="00000000"/>
  </w:font>
  <w:font w:name="Arial Narrow">
    <w:panose1 w:val="020B0606020202030204"/>
    <w:charset w:val="CC"/>
    <w:family w:val="swiss"/>
    <w:pitch w:val="variable"/>
    <w:sig w:usb0="00000287" w:usb1="00000800" w:usb2="00000000" w:usb3="00000000" w:csb0="0000009F" w:csb1="00000000"/>
  </w:font>
  <w:font w:name="Times">
    <w:altName w:val="﷽﷽﷽﷽﷽﷽㴹Ɛ"/>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oolBoran">
    <w:charset w:val="00"/>
    <w:family w:val="swiss"/>
    <w:pitch w:val="variable"/>
    <w:sig w:usb0="80000003" w:usb1="00000000" w:usb2="00010000" w:usb3="00000000" w:csb0="00000001" w:csb1="00000000"/>
  </w:font>
  <w:font w:name="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88EFE" w14:textId="3533E661" w:rsidR="0026330F" w:rsidRDefault="0026330F">
    <w:pPr>
      <w:pStyle w:val="a7"/>
    </w:pPr>
    <w:r w:rsidRPr="001854F8">
      <w:rPr>
        <w:rFonts w:ascii="Arial" w:hAnsi="Arial" w:cs="Arial"/>
        <w:noProof/>
      </w:rPr>
      <w:drawing>
        <wp:anchor distT="0" distB="0" distL="114300" distR="114300" simplePos="0" relativeHeight="251670528" behindDoc="0" locked="0" layoutInCell="1" allowOverlap="1" wp14:anchorId="2319E7B7" wp14:editId="58EC218D">
          <wp:simplePos x="0" y="0"/>
          <wp:positionH relativeFrom="column">
            <wp:posOffset>4038655</wp:posOffset>
          </wp:positionH>
          <wp:positionV relativeFrom="paragraph">
            <wp:posOffset>-752364</wp:posOffset>
          </wp:positionV>
          <wp:extent cx="1988983" cy="578048"/>
          <wp:effectExtent l="0" t="0" r="5080" b="6350"/>
          <wp:wrapNone/>
          <wp:docPr id="1731097514" name="Picture 1073742721" descr="Une image contenant texte, sign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1073742721" descr="Une image contenant texte, signe, clipart&#10;&#10;Description générée automatiquement"/>
                  <pic:cNvPicPr/>
                </pic:nvPicPr>
                <pic:blipFill>
                  <a:blip r:embed="rId1"/>
                  <a:stretch>
                    <a:fillRect/>
                  </a:stretch>
                </pic:blipFill>
                <pic:spPr>
                  <a:xfrm>
                    <a:off x="0" y="0"/>
                    <a:ext cx="1988983" cy="578048"/>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802EA" w14:textId="77777777" w:rsidR="00901812" w:rsidRDefault="0090181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E16F0" w14:textId="77777777" w:rsidR="00AE7ACC" w:rsidRDefault="00AE7ACC" w:rsidP="00531CC4">
      <w:r>
        <w:separator/>
      </w:r>
    </w:p>
  </w:footnote>
  <w:footnote w:type="continuationSeparator" w:id="0">
    <w:p w14:paraId="33E4ADAB" w14:textId="77777777" w:rsidR="00AE7ACC" w:rsidRDefault="00AE7ACC" w:rsidP="00531CC4">
      <w:r>
        <w:continuationSeparator/>
      </w:r>
    </w:p>
    <w:p w14:paraId="66E7446C" w14:textId="77777777" w:rsidR="00AE7ACC" w:rsidRDefault="00AE7ACC" w:rsidP="00531CC4"/>
    <w:p w14:paraId="5138D221" w14:textId="77777777" w:rsidR="00AE7ACC" w:rsidRDefault="00AE7ACC" w:rsidP="00531C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E319C" w14:textId="77777777" w:rsidR="00344D01" w:rsidRDefault="00344D01" w:rsidP="00344D01">
    <w:pPr>
      <w:pStyle w:val="a5"/>
      <w:rPr>
        <w:noProof/>
        <w:color w:val="808080"/>
        <w:sz w:val="18"/>
        <w:szCs w:val="18"/>
      </w:rPr>
    </w:pPr>
  </w:p>
  <w:p w14:paraId="076FEB7F" w14:textId="3118513A" w:rsidR="00775FE3" w:rsidRDefault="00344D01" w:rsidP="00D44EB7">
    <w:pPr>
      <w:pStyle w:val="aff4"/>
      <w:rPr>
        <w:noProof/>
      </w:rPr>
    </w:pPr>
    <w:r>
      <w:rPr>
        <w:noProof/>
      </w:rPr>
      <w:drawing>
        <wp:inline distT="0" distB="0" distL="0" distR="0" wp14:anchorId="67761F8D" wp14:editId="3AB1B9B3">
          <wp:extent cx="1160891" cy="603885"/>
          <wp:effectExtent l="0" t="0" r="1270" b="5715"/>
          <wp:docPr id="1123811859" name="Рисунок 1123811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08760" cy="628786"/>
                  </a:xfrm>
                  <a:prstGeom prst="rect">
                    <a:avLst/>
                  </a:prstGeom>
                </pic:spPr>
              </pic:pic>
            </a:graphicData>
          </a:graphic>
        </wp:inline>
      </w:drawing>
    </w:r>
    <w:r w:rsidR="00ED39C3">
      <w:rPr>
        <w:noProof/>
      </w:rPr>
      <w:t xml:space="preserve">  </w:t>
    </w:r>
    <w:r w:rsidR="00ED39C3">
      <w:rPr>
        <w:noProof/>
      </w:rPr>
      <w:drawing>
        <wp:inline distT="0" distB="0" distL="0" distR="0" wp14:anchorId="148697B0" wp14:editId="0156137E">
          <wp:extent cx="1232452" cy="723597"/>
          <wp:effectExtent l="0" t="0" r="6350" b="635"/>
          <wp:docPr id="1588867709" name="Рисунок 1588867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260928" cy="740316"/>
                  </a:xfrm>
                  <a:prstGeom prst="rect">
                    <a:avLst/>
                  </a:prstGeom>
                </pic:spPr>
              </pic:pic>
            </a:graphicData>
          </a:graphic>
        </wp:inline>
      </w:drawing>
    </w:r>
    <w:r w:rsidR="009A50DE">
      <w:rPr>
        <w:noProof/>
      </w:rPr>
      <w:t xml:space="preserve"> </w:t>
    </w:r>
    <w:r w:rsidR="00000E83">
      <w:rPr>
        <w:noProof/>
      </w:rPr>
      <w:drawing>
        <wp:inline distT="0" distB="0" distL="0" distR="0" wp14:anchorId="315A4C03" wp14:editId="7E77CFE3">
          <wp:extent cx="1327867" cy="656499"/>
          <wp:effectExtent l="0" t="0" r="5715" b="0"/>
          <wp:docPr id="219750263" name="Рисунок 219750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356523" cy="670667"/>
                  </a:xfrm>
                  <a:prstGeom prst="rect">
                    <a:avLst/>
                  </a:prstGeom>
                </pic:spPr>
              </pic:pic>
            </a:graphicData>
          </a:graphic>
        </wp:inline>
      </w:drawing>
    </w:r>
    <w:r w:rsidR="009A50DE">
      <w:rPr>
        <w:noProof/>
      </w:rPr>
      <w:t xml:space="preserve">  </w:t>
    </w:r>
    <w:r w:rsidR="00D44EB7">
      <w:rPr>
        <w:noProof/>
      </w:rPr>
      <w:t xml:space="preserve"> </w:t>
    </w:r>
    <w:r w:rsidR="009A50DE">
      <w:rPr>
        <w:noProof/>
      </w:rPr>
      <w:t xml:space="preserve"> </w:t>
    </w:r>
    <w:r w:rsidR="00D44EB7">
      <w:rPr>
        <w:noProof/>
      </w:rPr>
      <w:drawing>
        <wp:inline distT="0" distB="0" distL="0" distR="0" wp14:anchorId="58C5F679" wp14:editId="5AE99F16">
          <wp:extent cx="1097280" cy="544514"/>
          <wp:effectExtent l="0" t="0" r="7620" b="8255"/>
          <wp:docPr id="6742520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8170" cy="569768"/>
                  </a:xfrm>
                  <a:prstGeom prst="rect">
                    <a:avLst/>
                  </a:prstGeom>
                  <a:noFill/>
                  <a:ln>
                    <a:noFill/>
                  </a:ln>
                </pic:spPr>
              </pic:pic>
            </a:graphicData>
          </a:graphic>
        </wp:inline>
      </w:drawing>
    </w:r>
    <w:r w:rsidR="009A50DE">
      <w:rPr>
        <w:noProof/>
      </w:rPr>
      <w:t xml:space="preserve">   </w:t>
    </w:r>
    <w:r w:rsidR="007C7C43">
      <w:rPr>
        <w:noProof/>
      </w:rPr>
      <w:t xml:space="preserve"> </w:t>
    </w:r>
    <w:r w:rsidR="009A50DE">
      <w:rPr>
        <w:noProof/>
      </w:rPr>
      <w:drawing>
        <wp:inline distT="0" distB="0" distL="0" distR="0" wp14:anchorId="0752E3FC" wp14:editId="7765DAC1">
          <wp:extent cx="447585" cy="828675"/>
          <wp:effectExtent l="0" t="0" r="0" b="0"/>
          <wp:docPr id="738275553" name="Рисунок 738275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60872" cy="853275"/>
                  </a:xfrm>
                  <a:prstGeom prst="rect">
                    <a:avLst/>
                  </a:prstGeom>
                </pic:spPr>
              </pic:pic>
            </a:graphicData>
          </a:graphic>
        </wp:inline>
      </w:drawing>
    </w:r>
  </w:p>
  <w:p w14:paraId="3D2066F6" w14:textId="77777777" w:rsidR="009A50DE" w:rsidRDefault="009A50DE" w:rsidP="00344D01">
    <w:pPr>
      <w:pStyle w:val="a5"/>
      <w:rPr>
        <w:noProof/>
      </w:rPr>
    </w:pPr>
  </w:p>
  <w:p w14:paraId="615E467B" w14:textId="77777777" w:rsidR="009A50DE" w:rsidRDefault="009A50DE" w:rsidP="00344D01">
    <w:pPr>
      <w:pStyle w:val="a5"/>
      <w:rPr>
        <w:noProof/>
      </w:rPr>
    </w:pPr>
  </w:p>
  <w:p w14:paraId="64565C84" w14:textId="77777777" w:rsidR="009A50DE" w:rsidRPr="000D1CE7" w:rsidRDefault="009A50DE" w:rsidP="00344D01">
    <w:pPr>
      <w:pStyle w:val="a5"/>
      <w:rPr>
        <w:color w:val="80808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99313" w14:textId="0EB0DF2E" w:rsidR="00334E97" w:rsidRDefault="00334E97">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F4E3F" w14:textId="77777777" w:rsidR="00901812" w:rsidRPr="00E03289" w:rsidRDefault="00901812" w:rsidP="00531CC4">
    <w:pPr>
      <w:pStyle w:val="a5"/>
      <w:ind w:right="-575"/>
      <w:jc w:val="right"/>
      <w:rPr>
        <w:color w:val="143C71"/>
      </w:rPr>
    </w:pPr>
    <w:r w:rsidRPr="00E03289">
      <w:rPr>
        <w:noProof/>
        <w:color w:val="143C71"/>
      </w:rPr>
      <mc:AlternateContent>
        <mc:Choice Requires="wps">
          <w:drawing>
            <wp:anchor distT="0" distB="0" distL="114300" distR="114300" simplePos="0" relativeHeight="251667456" behindDoc="0" locked="0" layoutInCell="1" allowOverlap="1" wp14:anchorId="7EA7173E" wp14:editId="6B33996F">
              <wp:simplePos x="0" y="0"/>
              <wp:positionH relativeFrom="column">
                <wp:posOffset>-884389</wp:posOffset>
              </wp:positionH>
              <wp:positionV relativeFrom="paragraph">
                <wp:posOffset>107282</wp:posOffset>
              </wp:positionV>
              <wp:extent cx="6406147" cy="32084"/>
              <wp:effectExtent l="0" t="0" r="7620" b="19050"/>
              <wp:wrapNone/>
              <wp:docPr id="2" name="Straight Connector 44"/>
              <wp:cNvGraphicFramePr/>
              <a:graphic xmlns:a="http://schemas.openxmlformats.org/drawingml/2006/main">
                <a:graphicData uri="http://schemas.microsoft.com/office/word/2010/wordprocessingShape">
                  <wps:wsp>
                    <wps:cNvCnPr/>
                    <wps:spPr>
                      <a:xfrm flipH="1">
                        <a:off x="0" y="0"/>
                        <a:ext cx="6406147" cy="32084"/>
                      </a:xfrm>
                      <a:prstGeom prst="line">
                        <a:avLst/>
                      </a:prstGeom>
                      <a:noFill/>
                      <a:ln w="12700" cap="flat" cmpd="sng" algn="ctr">
                        <a:solidFill>
                          <a:srgbClr val="143C7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03EFD11" id="Straight Connector 44"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65pt,8.45pt" to="434.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" strokecolor="#143c71" strokeweight="1pt"/>
          </w:pict>
        </mc:Fallback>
      </mc:AlternateContent>
    </w:r>
    <w:r w:rsidRPr="00E03289">
      <w:rPr>
        <w:noProof/>
        <w:color w:val="143C71"/>
      </w:rPr>
      <mc:AlternateContent>
        <mc:Choice Requires="wpg">
          <w:drawing>
            <wp:anchor distT="0" distB="0" distL="114300" distR="114300" simplePos="0" relativeHeight="251662336" behindDoc="1" locked="0" layoutInCell="1" allowOverlap="1" wp14:anchorId="35923787" wp14:editId="456907CA">
              <wp:simplePos x="0" y="0"/>
              <wp:positionH relativeFrom="page">
                <wp:posOffset>7192645</wp:posOffset>
              </wp:positionH>
              <wp:positionV relativeFrom="page">
                <wp:posOffset>-95885</wp:posOffset>
              </wp:positionV>
              <wp:extent cx="578799" cy="1280160"/>
              <wp:effectExtent l="0" t="0" r="0" b="0"/>
              <wp:wrapNone/>
              <wp:docPr id="4" name="Group 45"/>
              <wp:cNvGraphicFramePr/>
              <a:graphic xmlns:a="http://schemas.openxmlformats.org/drawingml/2006/main">
                <a:graphicData uri="http://schemas.microsoft.com/office/word/2010/wordprocessingGroup">
                  <wpg:wgp>
                    <wpg:cNvGrpSpPr/>
                    <wpg:grpSpPr>
                      <a:xfrm>
                        <a:off x="0" y="0"/>
                        <a:ext cx="578799" cy="1280160"/>
                        <a:chOff x="125086" y="-439419"/>
                        <a:chExt cx="577859" cy="1280160"/>
                      </a:xfrm>
                    </wpg:grpSpPr>
                    <wps:wsp>
                      <wps:cNvPr id="6" name="Freeform 5"/>
                      <wps:cNvSpPr>
                        <a:spLocks/>
                      </wps:cNvSpPr>
                      <wps:spPr bwMode="auto">
                        <a:xfrm>
                          <a:off x="125086" y="-218"/>
                          <a:ext cx="300058" cy="593533"/>
                        </a:xfrm>
                        <a:custGeom>
                          <a:avLst/>
                          <a:gdLst>
                            <a:gd name="T0" fmla="*/ 0 w 128"/>
                            <a:gd name="T1" fmla="*/ 129 h 257"/>
                            <a:gd name="T2" fmla="*/ 128 w 128"/>
                            <a:gd name="T3" fmla="*/ 257 h 257"/>
                            <a:gd name="T4" fmla="*/ 128 w 128"/>
                            <a:gd name="T5" fmla="*/ 0 h 257"/>
                            <a:gd name="T6" fmla="*/ 0 w 128"/>
                            <a:gd name="T7" fmla="*/ 129 h 257"/>
                          </a:gdLst>
                          <a:ahLst/>
                          <a:cxnLst>
                            <a:cxn ang="0">
                              <a:pos x="T0" y="T1"/>
                            </a:cxn>
                            <a:cxn ang="0">
                              <a:pos x="T2" y="T3"/>
                            </a:cxn>
                            <a:cxn ang="0">
                              <a:pos x="T4" y="T5"/>
                            </a:cxn>
                            <a:cxn ang="0">
                              <a:pos x="T6" y="T7"/>
                            </a:cxn>
                          </a:cxnLst>
                          <a:rect l="0" t="0" r="r" b="b"/>
                          <a:pathLst>
                            <a:path w="128" h="257">
                              <a:moveTo>
                                <a:pt x="0" y="129"/>
                              </a:moveTo>
                              <a:cubicBezTo>
                                <a:pt x="0" y="200"/>
                                <a:pt x="57" y="257"/>
                                <a:pt x="128" y="257"/>
                              </a:cubicBezTo>
                              <a:cubicBezTo>
                                <a:pt x="128" y="0"/>
                                <a:pt x="128" y="0"/>
                                <a:pt x="128" y="0"/>
                              </a:cubicBezTo>
                              <a:cubicBezTo>
                                <a:pt x="57" y="0"/>
                                <a:pt x="0" y="58"/>
                                <a:pt x="0" y="129"/>
                              </a:cubicBezTo>
                              <a:close/>
                            </a:path>
                          </a:pathLst>
                        </a:custGeom>
                        <a:solidFill>
                          <a:srgbClr val="143C7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FEC5B9C" w14:textId="77777777" w:rsidR="00901812" w:rsidRPr="00531CC4" w:rsidRDefault="00901812" w:rsidP="00531CC4">
                            <w:pPr>
                              <w:spacing w:before="240"/>
                              <w:jc w:val="center"/>
                              <w:rPr>
                                <w:iCs/>
                                <w:color w:val="FFFFFF"/>
                                <w:sz w:val="20"/>
                                <w:szCs w:val="20"/>
                              </w:rPr>
                            </w:pPr>
                            <w:r w:rsidRPr="00531CC4">
                              <w:rPr>
                                <w:iCs/>
                                <w:color w:val="FFFFFF"/>
                                <w:sz w:val="20"/>
                                <w:szCs w:val="20"/>
                              </w:rPr>
                              <w:fldChar w:fldCharType="begin"/>
                            </w:r>
                            <w:r w:rsidRPr="00531CC4">
                              <w:rPr>
                                <w:iCs/>
                                <w:color w:val="FFFFFF"/>
                                <w:sz w:val="20"/>
                                <w:szCs w:val="20"/>
                              </w:rPr>
                              <w:instrText xml:space="preserve"> PAGE   \* MERGEFORMAT </w:instrText>
                            </w:r>
                            <w:r w:rsidRPr="00531CC4">
                              <w:rPr>
                                <w:iCs/>
                                <w:color w:val="FFFFFF"/>
                                <w:sz w:val="20"/>
                                <w:szCs w:val="20"/>
                              </w:rPr>
                              <w:fldChar w:fldCharType="separate"/>
                            </w:r>
                            <w:r w:rsidRPr="00531CC4">
                              <w:rPr>
                                <w:iCs/>
                                <w:noProof/>
                                <w:color w:val="FFFFFF"/>
                                <w:sz w:val="20"/>
                                <w:szCs w:val="20"/>
                              </w:rPr>
                              <w:t>2</w:t>
                            </w:r>
                            <w:r w:rsidRPr="00531CC4">
                              <w:rPr>
                                <w:iCs/>
                                <w:noProof/>
                                <w:color w:val="FFFFFF"/>
                                <w:sz w:val="20"/>
                                <w:szCs w:val="20"/>
                              </w:rPr>
                              <w:fldChar w:fldCharType="end"/>
                            </w:r>
                          </w:p>
                        </w:txbxContent>
                      </wps:txbx>
                      <wps:bodyPr vert="horz" wrap="square" lIns="0" tIns="0" rIns="0" bIns="0" numCol="1" anchor="ctr" anchorCtr="0" compatLnSpc="1">
                        <a:prstTxWarp prst="textNoShape">
                          <a:avLst/>
                        </a:prstTxWarp>
                      </wps:bodyPr>
                    </wps:wsp>
                    <wps:wsp>
                      <wps:cNvPr id="8" name="Rectangle 47"/>
                      <wps:cNvSpPr/>
                      <wps:spPr>
                        <a:xfrm>
                          <a:off x="428625" y="-439419"/>
                          <a:ext cx="274320" cy="1280160"/>
                        </a:xfrm>
                        <a:prstGeom prst="rect">
                          <a:avLst/>
                        </a:prstGeom>
                        <a:no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5923787" id="Group 45" o:spid="_x0000_s1030" style="position:absolute;left:0;text-align:left;margin-left:566.35pt;margin-top:-7.55pt;width:45.55pt;height:100.8pt;z-index:-251654144;mso-position-horizontal-relative:page;mso-position-vertical-relative:page;mso-width-relative:margin;mso-height-relative:margin" coordorigin="1250,-4394" coordsize="5778,12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">
              <v:shape id="Freeform 5" o:spid="_x0000_s1031" style="position:absolute;left:1250;top:-2;width:3001;height:5935;visibility:visible;mso-wrap-style:square;v-text-anchor:middle" coordsize="128,2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" adj="-11796480,,5400" path="m,129v,71,57,128,128,128c128,,128,,128,,57,,,58,,129xe" fillcolor="#143c71" stroked="f">
                <v:stroke joinstyle="round"/>
                <v:formulas/>
                <v:path arrowok="t" o:connecttype="custom" o:connectlocs="0,297921;300058,593533;300058,0;0,297921" o:connectangles="0,0,0,0" textboxrect="0,0,128,257"/>
                <v:textbox inset="0,0,0,0">
                  <w:txbxContent>
                    <w:p w14:paraId="3FEC5B9C" w14:textId="77777777" w:rsidR="00901812" w:rsidRPr="00531CC4" w:rsidRDefault="00901812" w:rsidP="00531CC4">
                      <w:pPr>
                        <w:spacing w:before="240"/>
                        <w:jc w:val="center"/>
                        <w:rPr>
                          <w:iCs/>
                          <w:color w:val="FFFFFF"/>
                          <w:sz w:val="20"/>
                          <w:szCs w:val="20"/>
                        </w:rPr>
                      </w:pPr>
                      <w:r w:rsidRPr="00531CC4">
                        <w:rPr>
                          <w:iCs/>
                          <w:color w:val="FFFFFF"/>
                          <w:sz w:val="20"/>
                          <w:szCs w:val="20"/>
                        </w:rPr>
                        <w:fldChar w:fldCharType="begin"/>
                      </w:r>
                      <w:r w:rsidRPr="00531CC4">
                        <w:rPr>
                          <w:iCs/>
                          <w:color w:val="FFFFFF"/>
                          <w:sz w:val="20"/>
                          <w:szCs w:val="20"/>
                        </w:rPr>
                        <w:instrText xml:space="preserve"> PAGE   \* MERGEFORMAT </w:instrText>
                      </w:r>
                      <w:r w:rsidRPr="00531CC4">
                        <w:rPr>
                          <w:iCs/>
                          <w:color w:val="FFFFFF"/>
                          <w:sz w:val="20"/>
                          <w:szCs w:val="20"/>
                        </w:rPr>
                        <w:fldChar w:fldCharType="separate"/>
                      </w:r>
                      <w:r w:rsidRPr="00531CC4">
                        <w:rPr>
                          <w:iCs/>
                          <w:noProof/>
                          <w:color w:val="FFFFFF"/>
                          <w:sz w:val="20"/>
                          <w:szCs w:val="20"/>
                        </w:rPr>
                        <w:t>2</w:t>
                      </w:r>
                      <w:r w:rsidRPr="00531CC4">
                        <w:rPr>
                          <w:iCs/>
                          <w:noProof/>
                          <w:color w:val="FFFFFF"/>
                          <w:sz w:val="20"/>
                          <w:szCs w:val="20"/>
                        </w:rPr>
                        <w:fldChar w:fldCharType="end"/>
                      </w:r>
                    </w:p>
                  </w:txbxContent>
                </v:textbox>
              </v:shape>
              <v:rect id="Rectangle 47" o:spid="_x0000_s1032" style="position:absolute;left:4286;top:-4394;width:2743;height:12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" filled="f" stroked="f" strokeweight="2pt"/>
              <w10:wrap anchorx="page" anchory="page"/>
            </v:group>
          </w:pict>
        </mc:Fallback>
      </mc:AlternateContent>
    </w:r>
    <w:r w:rsidRPr="00E03289">
      <w:rPr>
        <w:color w:val="143C71"/>
      </w:rPr>
      <w:t>BIOFIN</w:t>
    </w:r>
  </w:p>
  <w:p w14:paraId="4829AA51" w14:textId="77777777" w:rsidR="00901812" w:rsidRPr="00434B50" w:rsidRDefault="00901812" w:rsidP="00531CC4">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55B33" w14:textId="77777777" w:rsidR="00096D2A" w:rsidRPr="00382ABA" w:rsidRDefault="00096D2A" w:rsidP="00531CC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2CD9"/>
    <w:multiLevelType w:val="multilevel"/>
    <w:tmpl w:val="85A456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C501A5"/>
    <w:multiLevelType w:val="multilevel"/>
    <w:tmpl w:val="8B887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82618"/>
    <w:multiLevelType w:val="hybridMultilevel"/>
    <w:tmpl w:val="46A22286"/>
    <w:lvl w:ilvl="0" w:tplc="345E4F98">
      <w:start w:val="3"/>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E672D8B"/>
    <w:multiLevelType w:val="hybridMultilevel"/>
    <w:tmpl w:val="DDCEB2C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3FE3D28"/>
    <w:multiLevelType w:val="multilevel"/>
    <w:tmpl w:val="DC764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D34BD5"/>
    <w:multiLevelType w:val="multilevel"/>
    <w:tmpl w:val="E7E24714"/>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AEC0B8B"/>
    <w:multiLevelType w:val="hybridMultilevel"/>
    <w:tmpl w:val="F49E184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F7F057F"/>
    <w:multiLevelType w:val="hybridMultilevel"/>
    <w:tmpl w:val="09A0AFB6"/>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3C917A7"/>
    <w:multiLevelType w:val="hybridMultilevel"/>
    <w:tmpl w:val="126E5A5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2930570C"/>
    <w:multiLevelType w:val="hybridMultilevel"/>
    <w:tmpl w:val="6B4498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B3A7BF9"/>
    <w:multiLevelType w:val="hybridMultilevel"/>
    <w:tmpl w:val="E9945FAC"/>
    <w:lvl w:ilvl="0" w:tplc="345E4F98">
      <w:start w:val="3"/>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2CD776BA"/>
    <w:multiLevelType w:val="hybridMultilevel"/>
    <w:tmpl w:val="6ADC12BA"/>
    <w:lvl w:ilvl="0" w:tplc="66A8CD60">
      <w:numFmt w:val="bullet"/>
      <w:lvlText w:val="-"/>
      <w:lvlJc w:val="left"/>
      <w:pPr>
        <w:ind w:left="720" w:hanging="360"/>
      </w:pPr>
      <w:rPr>
        <w:rFonts w:ascii="Helvetica" w:eastAsia="Times New Roman" w:hAnsi="Helvetica" w:cs="Helvetica"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2CDB1A12"/>
    <w:multiLevelType w:val="hybridMultilevel"/>
    <w:tmpl w:val="B762B0EE"/>
    <w:lvl w:ilvl="0" w:tplc="0694D702">
      <w:start w:val="71"/>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3" w15:restartNumberingAfterBreak="0">
    <w:nsid w:val="2E7F6D1D"/>
    <w:multiLevelType w:val="hybridMultilevel"/>
    <w:tmpl w:val="7C74ED4C"/>
    <w:lvl w:ilvl="0" w:tplc="08F04B3E">
      <w:numFmt w:val="bullet"/>
      <w:lvlText w:val="-"/>
      <w:lvlJc w:val="left"/>
      <w:pPr>
        <w:ind w:left="720" w:hanging="360"/>
      </w:pPr>
      <w:rPr>
        <w:rFonts w:ascii="Times New Roman" w:eastAsiaTheme="minorEastAsia"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2F766D8A"/>
    <w:multiLevelType w:val="hybridMultilevel"/>
    <w:tmpl w:val="4CA260D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1530219"/>
    <w:multiLevelType w:val="hybridMultilevel"/>
    <w:tmpl w:val="10DC073C"/>
    <w:lvl w:ilvl="0" w:tplc="08DE6C5E">
      <w:start w:val="1"/>
      <w:numFmt w:val="bullet"/>
      <w:pStyle w:val="Bullet1"/>
      <w:lvlText w:val=""/>
      <w:lvlJc w:val="left"/>
      <w:pPr>
        <w:ind w:left="1077" w:hanging="360"/>
      </w:pPr>
      <w:rPr>
        <w:rFonts w:ascii="Symbol" w:hAnsi="Symbol" w:hint="default"/>
        <w:b/>
        <w:i w:val="0"/>
        <w:color w:val="143C71"/>
      </w:rPr>
    </w:lvl>
    <w:lvl w:ilvl="1" w:tplc="0C090003">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6" w15:restartNumberingAfterBreak="0">
    <w:nsid w:val="32DE3067"/>
    <w:multiLevelType w:val="hybridMultilevel"/>
    <w:tmpl w:val="2D2C6EE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36701733"/>
    <w:multiLevelType w:val="hybridMultilevel"/>
    <w:tmpl w:val="55A2856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38D863B8"/>
    <w:multiLevelType w:val="hybridMultilevel"/>
    <w:tmpl w:val="38B0255E"/>
    <w:lvl w:ilvl="0" w:tplc="F15631C2">
      <w:start w:val="1"/>
      <w:numFmt w:val="decimal"/>
      <w:pStyle w:val="NumberedList"/>
      <w:lvlText w:val="%1."/>
      <w:lvlJc w:val="left"/>
      <w:pPr>
        <w:ind w:left="1077" w:hanging="360"/>
      </w:p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19" w15:restartNumberingAfterBreak="0">
    <w:nsid w:val="3E3C4C00"/>
    <w:multiLevelType w:val="hybridMultilevel"/>
    <w:tmpl w:val="E20C855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441A6A2A"/>
    <w:multiLevelType w:val="hybridMultilevel"/>
    <w:tmpl w:val="367A50E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453B2E7A"/>
    <w:multiLevelType w:val="multilevel"/>
    <w:tmpl w:val="56DA6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73E4AAD"/>
    <w:multiLevelType w:val="hybridMultilevel"/>
    <w:tmpl w:val="130E768E"/>
    <w:lvl w:ilvl="0" w:tplc="345E4F98">
      <w:start w:val="3"/>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4977228F"/>
    <w:multiLevelType w:val="hybridMultilevel"/>
    <w:tmpl w:val="CF0A446C"/>
    <w:lvl w:ilvl="0" w:tplc="30DE0B8A">
      <w:start w:val="1"/>
      <w:numFmt w:val="bullet"/>
      <w:pStyle w:val="Bullet2"/>
      <w:lvlText w:val="˗"/>
      <w:lvlJc w:val="left"/>
      <w:pPr>
        <w:ind w:left="1965" w:hanging="360"/>
      </w:pPr>
      <w:rPr>
        <w:rFonts w:ascii="Arial" w:hAnsi="Arial" w:hint="default"/>
        <w:b/>
        <w:i w:val="0"/>
        <w:color w:val="098435"/>
        <w:u w:val="none"/>
      </w:rPr>
    </w:lvl>
    <w:lvl w:ilvl="1" w:tplc="0C090003" w:tentative="1">
      <w:start w:val="1"/>
      <w:numFmt w:val="bullet"/>
      <w:lvlText w:val="o"/>
      <w:lvlJc w:val="left"/>
      <w:pPr>
        <w:ind w:left="2685" w:hanging="360"/>
      </w:pPr>
      <w:rPr>
        <w:rFonts w:ascii="Courier New" w:hAnsi="Courier New" w:cs="Courier New" w:hint="default"/>
      </w:rPr>
    </w:lvl>
    <w:lvl w:ilvl="2" w:tplc="0C090005" w:tentative="1">
      <w:start w:val="1"/>
      <w:numFmt w:val="bullet"/>
      <w:lvlText w:val=""/>
      <w:lvlJc w:val="left"/>
      <w:pPr>
        <w:ind w:left="3405" w:hanging="360"/>
      </w:pPr>
      <w:rPr>
        <w:rFonts w:ascii="Wingdings" w:hAnsi="Wingdings" w:hint="default"/>
      </w:rPr>
    </w:lvl>
    <w:lvl w:ilvl="3" w:tplc="0C090001" w:tentative="1">
      <w:start w:val="1"/>
      <w:numFmt w:val="bullet"/>
      <w:lvlText w:val=""/>
      <w:lvlJc w:val="left"/>
      <w:pPr>
        <w:ind w:left="4125" w:hanging="360"/>
      </w:pPr>
      <w:rPr>
        <w:rFonts w:ascii="Symbol" w:hAnsi="Symbol" w:hint="default"/>
      </w:rPr>
    </w:lvl>
    <w:lvl w:ilvl="4" w:tplc="0C090003" w:tentative="1">
      <w:start w:val="1"/>
      <w:numFmt w:val="bullet"/>
      <w:lvlText w:val="o"/>
      <w:lvlJc w:val="left"/>
      <w:pPr>
        <w:ind w:left="4845" w:hanging="360"/>
      </w:pPr>
      <w:rPr>
        <w:rFonts w:ascii="Courier New" w:hAnsi="Courier New" w:cs="Courier New" w:hint="default"/>
      </w:rPr>
    </w:lvl>
    <w:lvl w:ilvl="5" w:tplc="0C090005" w:tentative="1">
      <w:start w:val="1"/>
      <w:numFmt w:val="bullet"/>
      <w:lvlText w:val=""/>
      <w:lvlJc w:val="left"/>
      <w:pPr>
        <w:ind w:left="5565" w:hanging="360"/>
      </w:pPr>
      <w:rPr>
        <w:rFonts w:ascii="Wingdings" w:hAnsi="Wingdings" w:hint="default"/>
      </w:rPr>
    </w:lvl>
    <w:lvl w:ilvl="6" w:tplc="0C090001" w:tentative="1">
      <w:start w:val="1"/>
      <w:numFmt w:val="bullet"/>
      <w:lvlText w:val=""/>
      <w:lvlJc w:val="left"/>
      <w:pPr>
        <w:ind w:left="6285" w:hanging="360"/>
      </w:pPr>
      <w:rPr>
        <w:rFonts w:ascii="Symbol" w:hAnsi="Symbol" w:hint="default"/>
      </w:rPr>
    </w:lvl>
    <w:lvl w:ilvl="7" w:tplc="0C090003" w:tentative="1">
      <w:start w:val="1"/>
      <w:numFmt w:val="bullet"/>
      <w:lvlText w:val="o"/>
      <w:lvlJc w:val="left"/>
      <w:pPr>
        <w:ind w:left="7005" w:hanging="360"/>
      </w:pPr>
      <w:rPr>
        <w:rFonts w:ascii="Courier New" w:hAnsi="Courier New" w:cs="Courier New" w:hint="default"/>
      </w:rPr>
    </w:lvl>
    <w:lvl w:ilvl="8" w:tplc="0C090005" w:tentative="1">
      <w:start w:val="1"/>
      <w:numFmt w:val="bullet"/>
      <w:lvlText w:val=""/>
      <w:lvlJc w:val="left"/>
      <w:pPr>
        <w:ind w:left="7725" w:hanging="360"/>
      </w:pPr>
      <w:rPr>
        <w:rFonts w:ascii="Wingdings" w:hAnsi="Wingdings" w:hint="default"/>
      </w:rPr>
    </w:lvl>
  </w:abstractNum>
  <w:abstractNum w:abstractNumId="24" w15:restartNumberingAfterBreak="0">
    <w:nsid w:val="4CFE7950"/>
    <w:multiLevelType w:val="hybridMultilevel"/>
    <w:tmpl w:val="81E804E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4F3E4B68"/>
    <w:multiLevelType w:val="multilevel"/>
    <w:tmpl w:val="40CA1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155B73"/>
    <w:multiLevelType w:val="hybridMultilevel"/>
    <w:tmpl w:val="4B92B5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52D9222B"/>
    <w:multiLevelType w:val="multilevel"/>
    <w:tmpl w:val="2C5C3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4377E84"/>
    <w:multiLevelType w:val="hybridMultilevel"/>
    <w:tmpl w:val="D01A2B9E"/>
    <w:lvl w:ilvl="0" w:tplc="66A8CD60">
      <w:numFmt w:val="bullet"/>
      <w:lvlText w:val="-"/>
      <w:lvlJc w:val="left"/>
      <w:pPr>
        <w:ind w:left="720" w:hanging="360"/>
      </w:pPr>
      <w:rPr>
        <w:rFonts w:ascii="Helvetica" w:eastAsia="Times New Roman" w:hAnsi="Helvetica" w:cs="Helvetica"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550C029E"/>
    <w:multiLevelType w:val="multilevel"/>
    <w:tmpl w:val="45D0B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AA77CD"/>
    <w:multiLevelType w:val="hybridMultilevel"/>
    <w:tmpl w:val="78A604D4"/>
    <w:lvl w:ilvl="0" w:tplc="2730C5E6">
      <w:start w:val="1"/>
      <w:numFmt w:val="bullet"/>
      <w:pStyle w:val="2"/>
      <w:lvlText w:val="˗"/>
      <w:lvlJc w:val="left"/>
      <w:pPr>
        <w:ind w:left="1797" w:hanging="360"/>
      </w:pPr>
      <w:rPr>
        <w:rFonts w:ascii="Arial" w:hAnsi="Arial"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31" w15:restartNumberingAfterBreak="0">
    <w:nsid w:val="58056EB1"/>
    <w:multiLevelType w:val="hybridMultilevel"/>
    <w:tmpl w:val="97447B08"/>
    <w:lvl w:ilvl="0" w:tplc="66A8CD60">
      <w:numFmt w:val="bullet"/>
      <w:lvlText w:val="-"/>
      <w:lvlJc w:val="left"/>
      <w:pPr>
        <w:ind w:left="720" w:hanging="360"/>
      </w:pPr>
      <w:rPr>
        <w:rFonts w:ascii="Helvetica" w:eastAsia="Times New Roman" w:hAnsi="Helvetica" w:cs="Helvetica"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5A6A4ECA"/>
    <w:multiLevelType w:val="hybridMultilevel"/>
    <w:tmpl w:val="C5A613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5D4E3069"/>
    <w:multiLevelType w:val="multilevel"/>
    <w:tmpl w:val="EAFC800C"/>
    <w:lvl w:ilvl="0">
      <w:start w:val="1"/>
      <w:numFmt w:val="decimal"/>
      <w:pStyle w:val="AnnexCoverHeading"/>
      <w:suff w:val="space"/>
      <w:lvlText w:val="Annex %1:"/>
      <w:lvlJc w:val="left"/>
      <w:pPr>
        <w:ind w:left="0" w:firstLine="0"/>
      </w:pPr>
      <w:rPr>
        <w:rFonts w:asciiTheme="majorHAnsi" w:hAnsiTheme="majorHAnsi" w:hint="default"/>
        <w:b/>
        <w:i w:val="0"/>
        <w:sz w:val="72"/>
        <w:szCs w:val="72"/>
        <w:u w:color="00206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7E453A5"/>
    <w:multiLevelType w:val="hybridMultilevel"/>
    <w:tmpl w:val="608C72F2"/>
    <w:lvl w:ilvl="0" w:tplc="0694D702">
      <w:start w:val="71"/>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5" w15:restartNumberingAfterBreak="0">
    <w:nsid w:val="687D471A"/>
    <w:multiLevelType w:val="hybridMultilevel"/>
    <w:tmpl w:val="D6924C3A"/>
    <w:lvl w:ilvl="0" w:tplc="0E5E96E4">
      <w:start w:val="87"/>
      <w:numFmt w:val="bullet"/>
      <w:lvlText w:val="-"/>
      <w:lvlJc w:val="left"/>
      <w:pPr>
        <w:ind w:left="360" w:hanging="360"/>
      </w:pPr>
      <w:rPr>
        <w:rFonts w:ascii="Calibri" w:eastAsiaTheme="minorHAnsi" w:hAnsi="Calibri" w:cs="Calibri"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6" w15:restartNumberingAfterBreak="0">
    <w:nsid w:val="68A42427"/>
    <w:multiLevelType w:val="hybridMultilevel"/>
    <w:tmpl w:val="247E480C"/>
    <w:lvl w:ilvl="0" w:tplc="66A8CD60">
      <w:numFmt w:val="bullet"/>
      <w:lvlText w:val="-"/>
      <w:lvlJc w:val="left"/>
      <w:pPr>
        <w:ind w:left="720" w:hanging="360"/>
      </w:pPr>
      <w:rPr>
        <w:rFonts w:ascii="Helvetica" w:eastAsia="Times New Roman" w:hAnsi="Helvetica" w:cs="Helvetica"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6AAC1080"/>
    <w:multiLevelType w:val="multilevel"/>
    <w:tmpl w:val="34EC8A52"/>
    <w:lvl w:ilvl="0">
      <w:start w:val="1"/>
      <w:numFmt w:val="upperLetter"/>
      <w:pStyle w:val="1"/>
      <w:lvlText w:val="%1."/>
      <w:lvlJc w:val="left"/>
      <w:pPr>
        <w:ind w:left="360" w:hanging="360"/>
      </w:pPr>
      <w:rPr>
        <w:rFonts w:hint="default"/>
      </w:rPr>
    </w:lvl>
    <w:lvl w:ilvl="1">
      <w:start w:val="1"/>
      <w:numFmt w:val="decimal"/>
      <w:pStyle w:val="20"/>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pStyle w:va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48973BD"/>
    <w:multiLevelType w:val="multilevel"/>
    <w:tmpl w:val="6D860CCC"/>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5B73670"/>
    <w:multiLevelType w:val="hybridMultilevel"/>
    <w:tmpl w:val="2BD03518"/>
    <w:lvl w:ilvl="0" w:tplc="66A8CD60">
      <w:numFmt w:val="bullet"/>
      <w:lvlText w:val="-"/>
      <w:lvlJc w:val="left"/>
      <w:pPr>
        <w:ind w:left="360" w:hanging="360"/>
      </w:pPr>
      <w:rPr>
        <w:rFonts w:ascii="Helvetica" w:eastAsia="Times New Roman" w:hAnsi="Helvetica" w:cs="Helvetica"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0" w15:restartNumberingAfterBreak="0">
    <w:nsid w:val="7CB615E7"/>
    <w:multiLevelType w:val="hybridMultilevel"/>
    <w:tmpl w:val="ED2C6F00"/>
    <w:lvl w:ilvl="0" w:tplc="66A8CD60">
      <w:numFmt w:val="bullet"/>
      <w:lvlText w:val="-"/>
      <w:lvlJc w:val="left"/>
      <w:pPr>
        <w:ind w:left="360" w:hanging="360"/>
      </w:pPr>
      <w:rPr>
        <w:rFonts w:ascii="Helvetica" w:eastAsia="Times New Roman" w:hAnsi="Helvetica" w:cs="Helvetica"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1" w15:restartNumberingAfterBreak="0">
    <w:nsid w:val="7CDB343B"/>
    <w:multiLevelType w:val="hybridMultilevel"/>
    <w:tmpl w:val="D7CC45A6"/>
    <w:lvl w:ilvl="0" w:tplc="66A8CD60">
      <w:numFmt w:val="bullet"/>
      <w:lvlText w:val="-"/>
      <w:lvlJc w:val="left"/>
      <w:pPr>
        <w:ind w:left="360" w:hanging="360"/>
      </w:pPr>
      <w:rPr>
        <w:rFonts w:ascii="Helvetica" w:eastAsia="Times New Roman" w:hAnsi="Helvetica" w:cs="Helvetica"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16cid:durableId="434596587">
    <w:abstractNumId w:val="30"/>
  </w:num>
  <w:num w:numId="2" w16cid:durableId="1700812135">
    <w:abstractNumId w:val="18"/>
  </w:num>
  <w:num w:numId="3" w16cid:durableId="986780455">
    <w:abstractNumId w:val="33"/>
  </w:num>
  <w:num w:numId="4" w16cid:durableId="106825307">
    <w:abstractNumId w:val="15"/>
  </w:num>
  <w:num w:numId="5" w16cid:durableId="565383479">
    <w:abstractNumId w:val="23"/>
  </w:num>
  <w:num w:numId="6" w16cid:durableId="1462118026">
    <w:abstractNumId w:val="37"/>
  </w:num>
  <w:num w:numId="7" w16cid:durableId="3556172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250403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58392172">
    <w:abstractNumId w:val="38"/>
  </w:num>
  <w:num w:numId="10" w16cid:durableId="777913445">
    <w:abstractNumId w:val="11"/>
  </w:num>
  <w:num w:numId="11" w16cid:durableId="2068995277">
    <w:abstractNumId w:val="34"/>
  </w:num>
  <w:num w:numId="12" w16cid:durableId="1056397278">
    <w:abstractNumId w:val="12"/>
  </w:num>
  <w:num w:numId="13" w16cid:durableId="66616699">
    <w:abstractNumId w:val="9"/>
  </w:num>
  <w:num w:numId="14" w16cid:durableId="2098746379">
    <w:abstractNumId w:val="35"/>
  </w:num>
  <w:num w:numId="15" w16cid:durableId="2051688276">
    <w:abstractNumId w:val="13"/>
  </w:num>
  <w:num w:numId="16" w16cid:durableId="2031100001">
    <w:abstractNumId w:val="19"/>
  </w:num>
  <w:num w:numId="17" w16cid:durableId="1117990678">
    <w:abstractNumId w:val="27"/>
  </w:num>
  <w:num w:numId="18" w16cid:durableId="605235467">
    <w:abstractNumId w:val="20"/>
  </w:num>
  <w:num w:numId="19" w16cid:durableId="1090849680">
    <w:abstractNumId w:val="4"/>
  </w:num>
  <w:num w:numId="20" w16cid:durableId="1386903701">
    <w:abstractNumId w:val="14"/>
  </w:num>
  <w:num w:numId="21" w16cid:durableId="183324324">
    <w:abstractNumId w:val="7"/>
  </w:num>
  <w:num w:numId="22" w16cid:durableId="398404101">
    <w:abstractNumId w:val="24"/>
  </w:num>
  <w:num w:numId="23" w16cid:durableId="616067030">
    <w:abstractNumId w:val="16"/>
  </w:num>
  <w:num w:numId="24" w16cid:durableId="1900479515">
    <w:abstractNumId w:val="1"/>
  </w:num>
  <w:num w:numId="25" w16cid:durableId="676537227">
    <w:abstractNumId w:val="17"/>
  </w:num>
  <w:num w:numId="26" w16cid:durableId="1330714799">
    <w:abstractNumId w:val="8"/>
  </w:num>
  <w:num w:numId="27" w16cid:durableId="1106728322">
    <w:abstractNumId w:val="6"/>
  </w:num>
  <w:num w:numId="28" w16cid:durableId="2023316295">
    <w:abstractNumId w:val="3"/>
  </w:num>
  <w:num w:numId="29" w16cid:durableId="342512339">
    <w:abstractNumId w:val="0"/>
  </w:num>
  <w:num w:numId="30" w16cid:durableId="192958983">
    <w:abstractNumId w:val="37"/>
  </w:num>
  <w:num w:numId="31" w16cid:durableId="1272470986">
    <w:abstractNumId w:val="25"/>
  </w:num>
  <w:num w:numId="32" w16cid:durableId="1344361855">
    <w:abstractNumId w:val="21"/>
  </w:num>
  <w:num w:numId="33" w16cid:durableId="888029617">
    <w:abstractNumId w:val="32"/>
  </w:num>
  <w:num w:numId="34" w16cid:durableId="352803404">
    <w:abstractNumId w:val="26"/>
  </w:num>
  <w:num w:numId="35" w16cid:durableId="1814367912">
    <w:abstractNumId w:val="39"/>
  </w:num>
  <w:num w:numId="36" w16cid:durableId="600722345">
    <w:abstractNumId w:val="31"/>
  </w:num>
  <w:num w:numId="37" w16cid:durableId="596182896">
    <w:abstractNumId w:val="41"/>
  </w:num>
  <w:num w:numId="38" w16cid:durableId="1985891159">
    <w:abstractNumId w:val="40"/>
  </w:num>
  <w:num w:numId="39" w16cid:durableId="1766001706">
    <w:abstractNumId w:val="28"/>
  </w:num>
  <w:num w:numId="40" w16cid:durableId="707488904">
    <w:abstractNumId w:val="36"/>
  </w:num>
  <w:num w:numId="41" w16cid:durableId="216282335">
    <w:abstractNumId w:val="10"/>
  </w:num>
  <w:num w:numId="42" w16cid:durableId="604390788">
    <w:abstractNumId w:val="2"/>
  </w:num>
  <w:num w:numId="43" w16cid:durableId="1903783868">
    <w:abstractNumId w:val="22"/>
  </w:num>
  <w:num w:numId="44" w16cid:durableId="185608277">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drawingGridHorizontalSpacing w:val="11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5E1"/>
    <w:rsid w:val="00000258"/>
    <w:rsid w:val="00000E83"/>
    <w:rsid w:val="00001254"/>
    <w:rsid w:val="00001DC9"/>
    <w:rsid w:val="000021D9"/>
    <w:rsid w:val="000025C6"/>
    <w:rsid w:val="000026A7"/>
    <w:rsid w:val="00003911"/>
    <w:rsid w:val="00003B4B"/>
    <w:rsid w:val="0000519E"/>
    <w:rsid w:val="0000541B"/>
    <w:rsid w:val="000067E3"/>
    <w:rsid w:val="00007B1F"/>
    <w:rsid w:val="000104E6"/>
    <w:rsid w:val="00011070"/>
    <w:rsid w:val="00012555"/>
    <w:rsid w:val="00013011"/>
    <w:rsid w:val="00013827"/>
    <w:rsid w:val="00013908"/>
    <w:rsid w:val="00014323"/>
    <w:rsid w:val="0001434A"/>
    <w:rsid w:val="0001467A"/>
    <w:rsid w:val="00015549"/>
    <w:rsid w:val="00015676"/>
    <w:rsid w:val="00015DDB"/>
    <w:rsid w:val="00015E83"/>
    <w:rsid w:val="00016704"/>
    <w:rsid w:val="000169FE"/>
    <w:rsid w:val="00017D41"/>
    <w:rsid w:val="00020458"/>
    <w:rsid w:val="00020808"/>
    <w:rsid w:val="00020C4D"/>
    <w:rsid w:val="00020C5E"/>
    <w:rsid w:val="00020D7D"/>
    <w:rsid w:val="00021433"/>
    <w:rsid w:val="0002304F"/>
    <w:rsid w:val="00023227"/>
    <w:rsid w:val="00023C36"/>
    <w:rsid w:val="00024C1F"/>
    <w:rsid w:val="000250E2"/>
    <w:rsid w:val="000251B5"/>
    <w:rsid w:val="00025CE1"/>
    <w:rsid w:val="00026200"/>
    <w:rsid w:val="00026D61"/>
    <w:rsid w:val="00027DDC"/>
    <w:rsid w:val="00027FD6"/>
    <w:rsid w:val="00030428"/>
    <w:rsid w:val="000311E5"/>
    <w:rsid w:val="00031317"/>
    <w:rsid w:val="000314C4"/>
    <w:rsid w:val="0003172F"/>
    <w:rsid w:val="000317AB"/>
    <w:rsid w:val="00031E5E"/>
    <w:rsid w:val="00032582"/>
    <w:rsid w:val="000326D3"/>
    <w:rsid w:val="000331D0"/>
    <w:rsid w:val="000334DE"/>
    <w:rsid w:val="00033534"/>
    <w:rsid w:val="00033CA8"/>
    <w:rsid w:val="00034317"/>
    <w:rsid w:val="000359CB"/>
    <w:rsid w:val="00036486"/>
    <w:rsid w:val="00036F67"/>
    <w:rsid w:val="00037425"/>
    <w:rsid w:val="000374C0"/>
    <w:rsid w:val="000400A0"/>
    <w:rsid w:val="00040385"/>
    <w:rsid w:val="0004054C"/>
    <w:rsid w:val="00041468"/>
    <w:rsid w:val="00041481"/>
    <w:rsid w:val="000415AE"/>
    <w:rsid w:val="000423D5"/>
    <w:rsid w:val="00042D3C"/>
    <w:rsid w:val="0004358B"/>
    <w:rsid w:val="00044157"/>
    <w:rsid w:val="00044257"/>
    <w:rsid w:val="000452C7"/>
    <w:rsid w:val="00045AA8"/>
    <w:rsid w:val="0004621B"/>
    <w:rsid w:val="000464DA"/>
    <w:rsid w:val="0004663B"/>
    <w:rsid w:val="000466F1"/>
    <w:rsid w:val="00047084"/>
    <w:rsid w:val="00047591"/>
    <w:rsid w:val="000476C0"/>
    <w:rsid w:val="00047F3D"/>
    <w:rsid w:val="000507AE"/>
    <w:rsid w:val="000508ED"/>
    <w:rsid w:val="00052821"/>
    <w:rsid w:val="00052F23"/>
    <w:rsid w:val="000540E4"/>
    <w:rsid w:val="0005442D"/>
    <w:rsid w:val="0005478C"/>
    <w:rsid w:val="000548B5"/>
    <w:rsid w:val="0005557B"/>
    <w:rsid w:val="00055B7F"/>
    <w:rsid w:val="00055BA7"/>
    <w:rsid w:val="00055EB4"/>
    <w:rsid w:val="00056A56"/>
    <w:rsid w:val="00056F24"/>
    <w:rsid w:val="000574A4"/>
    <w:rsid w:val="000577FA"/>
    <w:rsid w:val="00057E52"/>
    <w:rsid w:val="00057F53"/>
    <w:rsid w:val="00060441"/>
    <w:rsid w:val="00060D2B"/>
    <w:rsid w:val="00061472"/>
    <w:rsid w:val="0006163B"/>
    <w:rsid w:val="000625CA"/>
    <w:rsid w:val="0006282C"/>
    <w:rsid w:val="00062AA5"/>
    <w:rsid w:val="0006538E"/>
    <w:rsid w:val="000657C9"/>
    <w:rsid w:val="00065DFF"/>
    <w:rsid w:val="0007139B"/>
    <w:rsid w:val="00071B23"/>
    <w:rsid w:val="00072190"/>
    <w:rsid w:val="00073830"/>
    <w:rsid w:val="000739CF"/>
    <w:rsid w:val="00073CF4"/>
    <w:rsid w:val="00073E5B"/>
    <w:rsid w:val="00073E68"/>
    <w:rsid w:val="0007421B"/>
    <w:rsid w:val="00074A98"/>
    <w:rsid w:val="0007503C"/>
    <w:rsid w:val="000755AF"/>
    <w:rsid w:val="00075A33"/>
    <w:rsid w:val="00075C24"/>
    <w:rsid w:val="00075D3D"/>
    <w:rsid w:val="000760A3"/>
    <w:rsid w:val="000762EB"/>
    <w:rsid w:val="0007651F"/>
    <w:rsid w:val="00077BC9"/>
    <w:rsid w:val="0008030C"/>
    <w:rsid w:val="00080A7E"/>
    <w:rsid w:val="00080BDB"/>
    <w:rsid w:val="0008106A"/>
    <w:rsid w:val="0008308D"/>
    <w:rsid w:val="000843A6"/>
    <w:rsid w:val="00084D1B"/>
    <w:rsid w:val="000853A5"/>
    <w:rsid w:val="00085DC6"/>
    <w:rsid w:val="00090BE8"/>
    <w:rsid w:val="000916FF"/>
    <w:rsid w:val="00091A81"/>
    <w:rsid w:val="00091FD3"/>
    <w:rsid w:val="00092F4D"/>
    <w:rsid w:val="0009397F"/>
    <w:rsid w:val="00094E0D"/>
    <w:rsid w:val="00096D2A"/>
    <w:rsid w:val="00097322"/>
    <w:rsid w:val="0009763C"/>
    <w:rsid w:val="00097A32"/>
    <w:rsid w:val="00097C68"/>
    <w:rsid w:val="000A0402"/>
    <w:rsid w:val="000A1910"/>
    <w:rsid w:val="000A197C"/>
    <w:rsid w:val="000A21A5"/>
    <w:rsid w:val="000A2755"/>
    <w:rsid w:val="000A3B21"/>
    <w:rsid w:val="000A4359"/>
    <w:rsid w:val="000A4A1E"/>
    <w:rsid w:val="000A5C49"/>
    <w:rsid w:val="000A6098"/>
    <w:rsid w:val="000B0478"/>
    <w:rsid w:val="000B04AB"/>
    <w:rsid w:val="000B0CC8"/>
    <w:rsid w:val="000B17BA"/>
    <w:rsid w:val="000B1C7A"/>
    <w:rsid w:val="000B1D1D"/>
    <w:rsid w:val="000B2238"/>
    <w:rsid w:val="000B308B"/>
    <w:rsid w:val="000B393F"/>
    <w:rsid w:val="000B3F71"/>
    <w:rsid w:val="000B440D"/>
    <w:rsid w:val="000B4809"/>
    <w:rsid w:val="000B4F09"/>
    <w:rsid w:val="000B5355"/>
    <w:rsid w:val="000B58C7"/>
    <w:rsid w:val="000B58F8"/>
    <w:rsid w:val="000B5C1B"/>
    <w:rsid w:val="000B6BC8"/>
    <w:rsid w:val="000B7C3A"/>
    <w:rsid w:val="000B7F91"/>
    <w:rsid w:val="000C0988"/>
    <w:rsid w:val="000C0BF6"/>
    <w:rsid w:val="000C0E1D"/>
    <w:rsid w:val="000C0F0D"/>
    <w:rsid w:val="000C1601"/>
    <w:rsid w:val="000C1DBC"/>
    <w:rsid w:val="000C1DD2"/>
    <w:rsid w:val="000C1EB4"/>
    <w:rsid w:val="000C1EC4"/>
    <w:rsid w:val="000C20B1"/>
    <w:rsid w:val="000C3FFB"/>
    <w:rsid w:val="000C41A3"/>
    <w:rsid w:val="000C43BE"/>
    <w:rsid w:val="000C4C87"/>
    <w:rsid w:val="000C51E2"/>
    <w:rsid w:val="000C52CB"/>
    <w:rsid w:val="000C61AF"/>
    <w:rsid w:val="000C6565"/>
    <w:rsid w:val="000C65A5"/>
    <w:rsid w:val="000C6A28"/>
    <w:rsid w:val="000C6F71"/>
    <w:rsid w:val="000C7DFD"/>
    <w:rsid w:val="000D01D6"/>
    <w:rsid w:val="000D087B"/>
    <w:rsid w:val="000D14A5"/>
    <w:rsid w:val="000D1CE7"/>
    <w:rsid w:val="000D2B78"/>
    <w:rsid w:val="000D2D16"/>
    <w:rsid w:val="000D2F6F"/>
    <w:rsid w:val="000D3064"/>
    <w:rsid w:val="000D3099"/>
    <w:rsid w:val="000D31B8"/>
    <w:rsid w:val="000D3A2D"/>
    <w:rsid w:val="000D3A68"/>
    <w:rsid w:val="000D47C6"/>
    <w:rsid w:val="000D4F83"/>
    <w:rsid w:val="000D5A6B"/>
    <w:rsid w:val="000D5D87"/>
    <w:rsid w:val="000D6468"/>
    <w:rsid w:val="000D6769"/>
    <w:rsid w:val="000D71D2"/>
    <w:rsid w:val="000D79EB"/>
    <w:rsid w:val="000E0719"/>
    <w:rsid w:val="000E0E28"/>
    <w:rsid w:val="000E0ECB"/>
    <w:rsid w:val="000E1776"/>
    <w:rsid w:val="000E1E4D"/>
    <w:rsid w:val="000E2027"/>
    <w:rsid w:val="000E2855"/>
    <w:rsid w:val="000E2BFE"/>
    <w:rsid w:val="000E3BDF"/>
    <w:rsid w:val="000E430A"/>
    <w:rsid w:val="000E4C2C"/>
    <w:rsid w:val="000E6491"/>
    <w:rsid w:val="000E6C6C"/>
    <w:rsid w:val="000E73D6"/>
    <w:rsid w:val="000E7439"/>
    <w:rsid w:val="000E7A66"/>
    <w:rsid w:val="000F35D6"/>
    <w:rsid w:val="000F3C87"/>
    <w:rsid w:val="000F53FD"/>
    <w:rsid w:val="000F5EA1"/>
    <w:rsid w:val="000F659D"/>
    <w:rsid w:val="000F6674"/>
    <w:rsid w:val="000F671B"/>
    <w:rsid w:val="000F685B"/>
    <w:rsid w:val="00100B43"/>
    <w:rsid w:val="00101233"/>
    <w:rsid w:val="00101E27"/>
    <w:rsid w:val="001020DD"/>
    <w:rsid w:val="00102C54"/>
    <w:rsid w:val="001033DA"/>
    <w:rsid w:val="0010384C"/>
    <w:rsid w:val="00103F5F"/>
    <w:rsid w:val="00104021"/>
    <w:rsid w:val="0010427C"/>
    <w:rsid w:val="00105199"/>
    <w:rsid w:val="0010520D"/>
    <w:rsid w:val="001053B1"/>
    <w:rsid w:val="00105BBE"/>
    <w:rsid w:val="0010663B"/>
    <w:rsid w:val="00106AEC"/>
    <w:rsid w:val="00106FC0"/>
    <w:rsid w:val="001074B9"/>
    <w:rsid w:val="00107A3C"/>
    <w:rsid w:val="001106B5"/>
    <w:rsid w:val="00110DAA"/>
    <w:rsid w:val="00111396"/>
    <w:rsid w:val="00111C91"/>
    <w:rsid w:val="001128EB"/>
    <w:rsid w:val="00112C9F"/>
    <w:rsid w:val="00113A53"/>
    <w:rsid w:val="00113AB6"/>
    <w:rsid w:val="001142C2"/>
    <w:rsid w:val="001175BE"/>
    <w:rsid w:val="001206D3"/>
    <w:rsid w:val="001215C2"/>
    <w:rsid w:val="00121646"/>
    <w:rsid w:val="00121B2A"/>
    <w:rsid w:val="00121EE6"/>
    <w:rsid w:val="00122545"/>
    <w:rsid w:val="001244B4"/>
    <w:rsid w:val="001249A4"/>
    <w:rsid w:val="00125902"/>
    <w:rsid w:val="00125C8F"/>
    <w:rsid w:val="00125F68"/>
    <w:rsid w:val="00126D9A"/>
    <w:rsid w:val="00127B7D"/>
    <w:rsid w:val="00127C46"/>
    <w:rsid w:val="00130007"/>
    <w:rsid w:val="001302E0"/>
    <w:rsid w:val="00130AAC"/>
    <w:rsid w:val="00131081"/>
    <w:rsid w:val="001312E7"/>
    <w:rsid w:val="001315C2"/>
    <w:rsid w:val="00131608"/>
    <w:rsid w:val="00131832"/>
    <w:rsid w:val="001318B6"/>
    <w:rsid w:val="001318DB"/>
    <w:rsid w:val="00132593"/>
    <w:rsid w:val="00132B30"/>
    <w:rsid w:val="001341E8"/>
    <w:rsid w:val="0013442C"/>
    <w:rsid w:val="00134FFD"/>
    <w:rsid w:val="00136DAE"/>
    <w:rsid w:val="00137459"/>
    <w:rsid w:val="00137A22"/>
    <w:rsid w:val="00140BCB"/>
    <w:rsid w:val="00141974"/>
    <w:rsid w:val="00141C62"/>
    <w:rsid w:val="00141F56"/>
    <w:rsid w:val="00142051"/>
    <w:rsid w:val="001434AE"/>
    <w:rsid w:val="00143681"/>
    <w:rsid w:val="00143B58"/>
    <w:rsid w:val="00143C00"/>
    <w:rsid w:val="00143CF8"/>
    <w:rsid w:val="00143D2F"/>
    <w:rsid w:val="001443EA"/>
    <w:rsid w:val="00144EDD"/>
    <w:rsid w:val="00145A9D"/>
    <w:rsid w:val="00145CFF"/>
    <w:rsid w:val="00146ED5"/>
    <w:rsid w:val="00150486"/>
    <w:rsid w:val="00150528"/>
    <w:rsid w:val="0015171A"/>
    <w:rsid w:val="00151926"/>
    <w:rsid w:val="00151B54"/>
    <w:rsid w:val="00152084"/>
    <w:rsid w:val="001522B7"/>
    <w:rsid w:val="00152C11"/>
    <w:rsid w:val="00152EBA"/>
    <w:rsid w:val="00152FD8"/>
    <w:rsid w:val="00154CBD"/>
    <w:rsid w:val="001551DD"/>
    <w:rsid w:val="001578B8"/>
    <w:rsid w:val="00157C78"/>
    <w:rsid w:val="00160E3D"/>
    <w:rsid w:val="00160ECC"/>
    <w:rsid w:val="001614A1"/>
    <w:rsid w:val="00161845"/>
    <w:rsid w:val="00161EC1"/>
    <w:rsid w:val="00162207"/>
    <w:rsid w:val="00164100"/>
    <w:rsid w:val="001641F8"/>
    <w:rsid w:val="00164BF2"/>
    <w:rsid w:val="001654EE"/>
    <w:rsid w:val="00167BDC"/>
    <w:rsid w:val="00170FC6"/>
    <w:rsid w:val="00171194"/>
    <w:rsid w:val="0017176C"/>
    <w:rsid w:val="00171FBE"/>
    <w:rsid w:val="0017209A"/>
    <w:rsid w:val="0017292A"/>
    <w:rsid w:val="0017293C"/>
    <w:rsid w:val="00172B79"/>
    <w:rsid w:val="00172EF1"/>
    <w:rsid w:val="00174049"/>
    <w:rsid w:val="00174F91"/>
    <w:rsid w:val="00175715"/>
    <w:rsid w:val="001766A0"/>
    <w:rsid w:val="0017671E"/>
    <w:rsid w:val="00177BB8"/>
    <w:rsid w:val="00180159"/>
    <w:rsid w:val="001801DE"/>
    <w:rsid w:val="00180369"/>
    <w:rsid w:val="0018081A"/>
    <w:rsid w:val="0018095F"/>
    <w:rsid w:val="00181631"/>
    <w:rsid w:val="001829AF"/>
    <w:rsid w:val="00182A15"/>
    <w:rsid w:val="00182BFB"/>
    <w:rsid w:val="00182D4D"/>
    <w:rsid w:val="00182F10"/>
    <w:rsid w:val="001831A6"/>
    <w:rsid w:val="0018331E"/>
    <w:rsid w:val="00183411"/>
    <w:rsid w:val="0018362C"/>
    <w:rsid w:val="001837B6"/>
    <w:rsid w:val="00183853"/>
    <w:rsid w:val="00184389"/>
    <w:rsid w:val="00184427"/>
    <w:rsid w:val="0018485E"/>
    <w:rsid w:val="001854F8"/>
    <w:rsid w:val="00185F3A"/>
    <w:rsid w:val="00185FF3"/>
    <w:rsid w:val="0018646D"/>
    <w:rsid w:val="0018654B"/>
    <w:rsid w:val="00186A0A"/>
    <w:rsid w:val="00186B0D"/>
    <w:rsid w:val="001872C0"/>
    <w:rsid w:val="001872C3"/>
    <w:rsid w:val="00187806"/>
    <w:rsid w:val="00187DA0"/>
    <w:rsid w:val="00187E0A"/>
    <w:rsid w:val="00187E36"/>
    <w:rsid w:val="00190456"/>
    <w:rsid w:val="0019045B"/>
    <w:rsid w:val="0019081D"/>
    <w:rsid w:val="00191572"/>
    <w:rsid w:val="00191C77"/>
    <w:rsid w:val="001921F3"/>
    <w:rsid w:val="001925B4"/>
    <w:rsid w:val="0019397E"/>
    <w:rsid w:val="00193A95"/>
    <w:rsid w:val="00194D7A"/>
    <w:rsid w:val="00194F15"/>
    <w:rsid w:val="001953A3"/>
    <w:rsid w:val="001960A5"/>
    <w:rsid w:val="00196D9F"/>
    <w:rsid w:val="001A008B"/>
    <w:rsid w:val="001A1681"/>
    <w:rsid w:val="001A2442"/>
    <w:rsid w:val="001A3610"/>
    <w:rsid w:val="001A3ECA"/>
    <w:rsid w:val="001A4006"/>
    <w:rsid w:val="001A41F2"/>
    <w:rsid w:val="001A457B"/>
    <w:rsid w:val="001A4DF2"/>
    <w:rsid w:val="001A5617"/>
    <w:rsid w:val="001A6360"/>
    <w:rsid w:val="001A6D63"/>
    <w:rsid w:val="001A746F"/>
    <w:rsid w:val="001A7899"/>
    <w:rsid w:val="001A7B41"/>
    <w:rsid w:val="001B02FE"/>
    <w:rsid w:val="001B0A95"/>
    <w:rsid w:val="001B245E"/>
    <w:rsid w:val="001B2D5F"/>
    <w:rsid w:val="001B2E73"/>
    <w:rsid w:val="001B3315"/>
    <w:rsid w:val="001B3F19"/>
    <w:rsid w:val="001B4B82"/>
    <w:rsid w:val="001B4BBD"/>
    <w:rsid w:val="001B52DF"/>
    <w:rsid w:val="001B57F6"/>
    <w:rsid w:val="001B5B77"/>
    <w:rsid w:val="001B63BC"/>
    <w:rsid w:val="001B6FBF"/>
    <w:rsid w:val="001B7685"/>
    <w:rsid w:val="001B76BE"/>
    <w:rsid w:val="001C04AF"/>
    <w:rsid w:val="001C0502"/>
    <w:rsid w:val="001C08F6"/>
    <w:rsid w:val="001C0F28"/>
    <w:rsid w:val="001C1AC6"/>
    <w:rsid w:val="001C1DCF"/>
    <w:rsid w:val="001C203B"/>
    <w:rsid w:val="001C222C"/>
    <w:rsid w:val="001C247B"/>
    <w:rsid w:val="001C4CA7"/>
    <w:rsid w:val="001C52C9"/>
    <w:rsid w:val="001C5CE7"/>
    <w:rsid w:val="001C744B"/>
    <w:rsid w:val="001D04B8"/>
    <w:rsid w:val="001D0545"/>
    <w:rsid w:val="001D1186"/>
    <w:rsid w:val="001D14F4"/>
    <w:rsid w:val="001D2B8F"/>
    <w:rsid w:val="001D2E6E"/>
    <w:rsid w:val="001D30EB"/>
    <w:rsid w:val="001D4062"/>
    <w:rsid w:val="001D41A5"/>
    <w:rsid w:val="001D4931"/>
    <w:rsid w:val="001D4A0A"/>
    <w:rsid w:val="001D4CB4"/>
    <w:rsid w:val="001D554A"/>
    <w:rsid w:val="001D597F"/>
    <w:rsid w:val="001D5DAB"/>
    <w:rsid w:val="001D5F7F"/>
    <w:rsid w:val="001D6751"/>
    <w:rsid w:val="001D7374"/>
    <w:rsid w:val="001D7377"/>
    <w:rsid w:val="001D7BE4"/>
    <w:rsid w:val="001E196D"/>
    <w:rsid w:val="001E247B"/>
    <w:rsid w:val="001E2DEE"/>
    <w:rsid w:val="001E307E"/>
    <w:rsid w:val="001E3C46"/>
    <w:rsid w:val="001E3D6E"/>
    <w:rsid w:val="001E4613"/>
    <w:rsid w:val="001E5CFD"/>
    <w:rsid w:val="001E7BEA"/>
    <w:rsid w:val="001F078C"/>
    <w:rsid w:val="001F0B8F"/>
    <w:rsid w:val="001F0E98"/>
    <w:rsid w:val="001F0FBE"/>
    <w:rsid w:val="001F1288"/>
    <w:rsid w:val="001F12F3"/>
    <w:rsid w:val="001F1AD5"/>
    <w:rsid w:val="001F27BB"/>
    <w:rsid w:val="001F2B6C"/>
    <w:rsid w:val="001F2FF1"/>
    <w:rsid w:val="001F360C"/>
    <w:rsid w:val="001F3F05"/>
    <w:rsid w:val="001F438F"/>
    <w:rsid w:val="001F50C8"/>
    <w:rsid w:val="001F5188"/>
    <w:rsid w:val="001F580E"/>
    <w:rsid w:val="001F5C52"/>
    <w:rsid w:val="001F5FA8"/>
    <w:rsid w:val="001F7249"/>
    <w:rsid w:val="00200118"/>
    <w:rsid w:val="002008B8"/>
    <w:rsid w:val="00200ACA"/>
    <w:rsid w:val="00200F0F"/>
    <w:rsid w:val="00201633"/>
    <w:rsid w:val="002030C7"/>
    <w:rsid w:val="00203E04"/>
    <w:rsid w:val="002052A4"/>
    <w:rsid w:val="00205313"/>
    <w:rsid w:val="00205505"/>
    <w:rsid w:val="00205A28"/>
    <w:rsid w:val="00205B27"/>
    <w:rsid w:val="00205DE9"/>
    <w:rsid w:val="00206BBA"/>
    <w:rsid w:val="00210085"/>
    <w:rsid w:val="00211171"/>
    <w:rsid w:val="002116C0"/>
    <w:rsid w:val="00211BEC"/>
    <w:rsid w:val="00212018"/>
    <w:rsid w:val="002128D0"/>
    <w:rsid w:val="002138EF"/>
    <w:rsid w:val="00213F0D"/>
    <w:rsid w:val="002143D2"/>
    <w:rsid w:val="0021471E"/>
    <w:rsid w:val="00214BD9"/>
    <w:rsid w:val="002151BE"/>
    <w:rsid w:val="002151E6"/>
    <w:rsid w:val="0021607D"/>
    <w:rsid w:val="00216942"/>
    <w:rsid w:val="00216F48"/>
    <w:rsid w:val="002178E8"/>
    <w:rsid w:val="00217971"/>
    <w:rsid w:val="00217FFD"/>
    <w:rsid w:val="002202A8"/>
    <w:rsid w:val="00220621"/>
    <w:rsid w:val="002207AC"/>
    <w:rsid w:val="0022085B"/>
    <w:rsid w:val="00220873"/>
    <w:rsid w:val="0022153F"/>
    <w:rsid w:val="0022163D"/>
    <w:rsid w:val="00221B49"/>
    <w:rsid w:val="002225DE"/>
    <w:rsid w:val="00222E8F"/>
    <w:rsid w:val="002232EA"/>
    <w:rsid w:val="00223EE3"/>
    <w:rsid w:val="00224900"/>
    <w:rsid w:val="00225791"/>
    <w:rsid w:val="00225C9D"/>
    <w:rsid w:val="00225CB0"/>
    <w:rsid w:val="00226B4B"/>
    <w:rsid w:val="00226BC0"/>
    <w:rsid w:val="00226CA1"/>
    <w:rsid w:val="00227B3E"/>
    <w:rsid w:val="00231032"/>
    <w:rsid w:val="00231619"/>
    <w:rsid w:val="00232244"/>
    <w:rsid w:val="00232D25"/>
    <w:rsid w:val="0023312F"/>
    <w:rsid w:val="0023401D"/>
    <w:rsid w:val="00234086"/>
    <w:rsid w:val="00234C2E"/>
    <w:rsid w:val="00234D53"/>
    <w:rsid w:val="002350E2"/>
    <w:rsid w:val="002356F8"/>
    <w:rsid w:val="00235BD4"/>
    <w:rsid w:val="002360AB"/>
    <w:rsid w:val="00236482"/>
    <w:rsid w:val="00236730"/>
    <w:rsid w:val="002370C5"/>
    <w:rsid w:val="00237BA4"/>
    <w:rsid w:val="00237F1E"/>
    <w:rsid w:val="00240479"/>
    <w:rsid w:val="002404D7"/>
    <w:rsid w:val="00241376"/>
    <w:rsid w:val="00242BF7"/>
    <w:rsid w:val="00242D19"/>
    <w:rsid w:val="0024307F"/>
    <w:rsid w:val="002430C9"/>
    <w:rsid w:val="00243BA5"/>
    <w:rsid w:val="002452FD"/>
    <w:rsid w:val="002468D5"/>
    <w:rsid w:val="00246901"/>
    <w:rsid w:val="0024691E"/>
    <w:rsid w:val="00246B0D"/>
    <w:rsid w:val="00246D3C"/>
    <w:rsid w:val="0025026D"/>
    <w:rsid w:val="002511EB"/>
    <w:rsid w:val="00251651"/>
    <w:rsid w:val="00251705"/>
    <w:rsid w:val="00251A80"/>
    <w:rsid w:val="0025200D"/>
    <w:rsid w:val="002521E9"/>
    <w:rsid w:val="0025363D"/>
    <w:rsid w:val="002539FA"/>
    <w:rsid w:val="00254100"/>
    <w:rsid w:val="00255835"/>
    <w:rsid w:val="002567B4"/>
    <w:rsid w:val="00256FA2"/>
    <w:rsid w:val="00260F53"/>
    <w:rsid w:val="002615C5"/>
    <w:rsid w:val="002616F4"/>
    <w:rsid w:val="0026212C"/>
    <w:rsid w:val="00262452"/>
    <w:rsid w:val="00262877"/>
    <w:rsid w:val="0026330F"/>
    <w:rsid w:val="00263891"/>
    <w:rsid w:val="00264B57"/>
    <w:rsid w:val="00264F79"/>
    <w:rsid w:val="00265068"/>
    <w:rsid w:val="00267C36"/>
    <w:rsid w:val="00267D10"/>
    <w:rsid w:val="00267F5D"/>
    <w:rsid w:val="00270374"/>
    <w:rsid w:val="00270C7D"/>
    <w:rsid w:val="00271291"/>
    <w:rsid w:val="00271802"/>
    <w:rsid w:val="00271DF9"/>
    <w:rsid w:val="0027375A"/>
    <w:rsid w:val="00274E29"/>
    <w:rsid w:val="00275B89"/>
    <w:rsid w:val="00275F63"/>
    <w:rsid w:val="0027638E"/>
    <w:rsid w:val="00277A16"/>
    <w:rsid w:val="00277B2C"/>
    <w:rsid w:val="0028079E"/>
    <w:rsid w:val="002814E1"/>
    <w:rsid w:val="00281B03"/>
    <w:rsid w:val="0028211A"/>
    <w:rsid w:val="00282F53"/>
    <w:rsid w:val="00284E9B"/>
    <w:rsid w:val="0028566D"/>
    <w:rsid w:val="0028643B"/>
    <w:rsid w:val="002866AF"/>
    <w:rsid w:val="00286BF3"/>
    <w:rsid w:val="0028732F"/>
    <w:rsid w:val="0028776F"/>
    <w:rsid w:val="00287A0A"/>
    <w:rsid w:val="002904EC"/>
    <w:rsid w:val="00290E2C"/>
    <w:rsid w:val="00291384"/>
    <w:rsid w:val="002918BF"/>
    <w:rsid w:val="00292F84"/>
    <w:rsid w:val="0029353A"/>
    <w:rsid w:val="00293DAC"/>
    <w:rsid w:val="00294695"/>
    <w:rsid w:val="00294EFF"/>
    <w:rsid w:val="00295B72"/>
    <w:rsid w:val="00296AE0"/>
    <w:rsid w:val="00296ED2"/>
    <w:rsid w:val="00297DB3"/>
    <w:rsid w:val="002A156C"/>
    <w:rsid w:val="002A28C2"/>
    <w:rsid w:val="002A3331"/>
    <w:rsid w:val="002A35B9"/>
    <w:rsid w:val="002A58BF"/>
    <w:rsid w:val="002A5F2C"/>
    <w:rsid w:val="002A5FB9"/>
    <w:rsid w:val="002A659E"/>
    <w:rsid w:val="002A7D3A"/>
    <w:rsid w:val="002B0086"/>
    <w:rsid w:val="002B0DC4"/>
    <w:rsid w:val="002B12DB"/>
    <w:rsid w:val="002B2138"/>
    <w:rsid w:val="002B3410"/>
    <w:rsid w:val="002B391B"/>
    <w:rsid w:val="002B4086"/>
    <w:rsid w:val="002B45CB"/>
    <w:rsid w:val="002B4BEC"/>
    <w:rsid w:val="002B4FF7"/>
    <w:rsid w:val="002B5A18"/>
    <w:rsid w:val="002B5BD3"/>
    <w:rsid w:val="002B6940"/>
    <w:rsid w:val="002B6AC7"/>
    <w:rsid w:val="002B6DFE"/>
    <w:rsid w:val="002B7753"/>
    <w:rsid w:val="002C0120"/>
    <w:rsid w:val="002C087E"/>
    <w:rsid w:val="002C09FE"/>
    <w:rsid w:val="002C0AD9"/>
    <w:rsid w:val="002C0BB7"/>
    <w:rsid w:val="002C0CC1"/>
    <w:rsid w:val="002C244A"/>
    <w:rsid w:val="002C39AD"/>
    <w:rsid w:val="002C3A78"/>
    <w:rsid w:val="002C3FE7"/>
    <w:rsid w:val="002C426B"/>
    <w:rsid w:val="002C4530"/>
    <w:rsid w:val="002C454D"/>
    <w:rsid w:val="002C4A3B"/>
    <w:rsid w:val="002C68BF"/>
    <w:rsid w:val="002C69BA"/>
    <w:rsid w:val="002C6BEA"/>
    <w:rsid w:val="002C7404"/>
    <w:rsid w:val="002C7BA8"/>
    <w:rsid w:val="002D02C2"/>
    <w:rsid w:val="002D079F"/>
    <w:rsid w:val="002D169D"/>
    <w:rsid w:val="002D1E08"/>
    <w:rsid w:val="002D20E7"/>
    <w:rsid w:val="002D2951"/>
    <w:rsid w:val="002D305B"/>
    <w:rsid w:val="002D340A"/>
    <w:rsid w:val="002D34A5"/>
    <w:rsid w:val="002D53DB"/>
    <w:rsid w:val="002D636E"/>
    <w:rsid w:val="002D6E1E"/>
    <w:rsid w:val="002E0CF3"/>
    <w:rsid w:val="002E10CE"/>
    <w:rsid w:val="002E1735"/>
    <w:rsid w:val="002E29DC"/>
    <w:rsid w:val="002E4A7A"/>
    <w:rsid w:val="002E4EFE"/>
    <w:rsid w:val="002E5534"/>
    <w:rsid w:val="002E6455"/>
    <w:rsid w:val="002E689A"/>
    <w:rsid w:val="002E70A4"/>
    <w:rsid w:val="002F0DF1"/>
    <w:rsid w:val="002F10EF"/>
    <w:rsid w:val="002F1C16"/>
    <w:rsid w:val="002F2B46"/>
    <w:rsid w:val="002F2C1E"/>
    <w:rsid w:val="002F31AA"/>
    <w:rsid w:val="002F31E3"/>
    <w:rsid w:val="002F35F0"/>
    <w:rsid w:val="002F3A98"/>
    <w:rsid w:val="002F41CC"/>
    <w:rsid w:val="002F5186"/>
    <w:rsid w:val="002F540F"/>
    <w:rsid w:val="002F59D4"/>
    <w:rsid w:val="002F5C91"/>
    <w:rsid w:val="002F5F7A"/>
    <w:rsid w:val="002F5F82"/>
    <w:rsid w:val="002F633B"/>
    <w:rsid w:val="002F78B7"/>
    <w:rsid w:val="0030038C"/>
    <w:rsid w:val="003007FB"/>
    <w:rsid w:val="00300A7B"/>
    <w:rsid w:val="00300F44"/>
    <w:rsid w:val="0030111A"/>
    <w:rsid w:val="00301520"/>
    <w:rsid w:val="00301AD7"/>
    <w:rsid w:val="00301C72"/>
    <w:rsid w:val="00302EBE"/>
    <w:rsid w:val="0030305A"/>
    <w:rsid w:val="00303152"/>
    <w:rsid w:val="00303400"/>
    <w:rsid w:val="00303767"/>
    <w:rsid w:val="003050B7"/>
    <w:rsid w:val="0030680B"/>
    <w:rsid w:val="00306C4E"/>
    <w:rsid w:val="003072C0"/>
    <w:rsid w:val="003077A7"/>
    <w:rsid w:val="003078C1"/>
    <w:rsid w:val="003079AE"/>
    <w:rsid w:val="003103C2"/>
    <w:rsid w:val="003110F8"/>
    <w:rsid w:val="0031322A"/>
    <w:rsid w:val="003139E4"/>
    <w:rsid w:val="003147C5"/>
    <w:rsid w:val="00315486"/>
    <w:rsid w:val="00315D78"/>
    <w:rsid w:val="00316777"/>
    <w:rsid w:val="00317422"/>
    <w:rsid w:val="00317519"/>
    <w:rsid w:val="00317F65"/>
    <w:rsid w:val="00320237"/>
    <w:rsid w:val="003204F6"/>
    <w:rsid w:val="0032273D"/>
    <w:rsid w:val="00322B88"/>
    <w:rsid w:val="00322C9E"/>
    <w:rsid w:val="00323C19"/>
    <w:rsid w:val="00323C2A"/>
    <w:rsid w:val="0032412C"/>
    <w:rsid w:val="00324190"/>
    <w:rsid w:val="00324513"/>
    <w:rsid w:val="0032456F"/>
    <w:rsid w:val="00324D92"/>
    <w:rsid w:val="003250FD"/>
    <w:rsid w:val="003251E8"/>
    <w:rsid w:val="00325A6B"/>
    <w:rsid w:val="00326421"/>
    <w:rsid w:val="003268E8"/>
    <w:rsid w:val="003272DA"/>
    <w:rsid w:val="00330A85"/>
    <w:rsid w:val="003319E9"/>
    <w:rsid w:val="00331FE6"/>
    <w:rsid w:val="003325DF"/>
    <w:rsid w:val="00332EDE"/>
    <w:rsid w:val="0033313A"/>
    <w:rsid w:val="00333908"/>
    <w:rsid w:val="00333BBF"/>
    <w:rsid w:val="00333E7D"/>
    <w:rsid w:val="00333F88"/>
    <w:rsid w:val="003340D9"/>
    <w:rsid w:val="00334E97"/>
    <w:rsid w:val="003370B4"/>
    <w:rsid w:val="00337656"/>
    <w:rsid w:val="0033767F"/>
    <w:rsid w:val="003409C3"/>
    <w:rsid w:val="00340B66"/>
    <w:rsid w:val="00340C33"/>
    <w:rsid w:val="003418E0"/>
    <w:rsid w:val="00342099"/>
    <w:rsid w:val="00342EFC"/>
    <w:rsid w:val="0034362F"/>
    <w:rsid w:val="00344567"/>
    <w:rsid w:val="00344AC5"/>
    <w:rsid w:val="00344D01"/>
    <w:rsid w:val="0034555D"/>
    <w:rsid w:val="00346223"/>
    <w:rsid w:val="003469A4"/>
    <w:rsid w:val="003479A9"/>
    <w:rsid w:val="0035023A"/>
    <w:rsid w:val="00350308"/>
    <w:rsid w:val="00350764"/>
    <w:rsid w:val="00350ADB"/>
    <w:rsid w:val="003515C7"/>
    <w:rsid w:val="0035255D"/>
    <w:rsid w:val="00352631"/>
    <w:rsid w:val="0035270F"/>
    <w:rsid w:val="00352D6E"/>
    <w:rsid w:val="003538BF"/>
    <w:rsid w:val="00353E57"/>
    <w:rsid w:val="00354758"/>
    <w:rsid w:val="003547BE"/>
    <w:rsid w:val="003553EF"/>
    <w:rsid w:val="00355DBC"/>
    <w:rsid w:val="0035636B"/>
    <w:rsid w:val="00357AFF"/>
    <w:rsid w:val="00360226"/>
    <w:rsid w:val="0036185E"/>
    <w:rsid w:val="00361CD6"/>
    <w:rsid w:val="00362026"/>
    <w:rsid w:val="00363C84"/>
    <w:rsid w:val="003641C3"/>
    <w:rsid w:val="00364866"/>
    <w:rsid w:val="0036685E"/>
    <w:rsid w:val="00366DA3"/>
    <w:rsid w:val="0036725A"/>
    <w:rsid w:val="00367426"/>
    <w:rsid w:val="003705E8"/>
    <w:rsid w:val="0037146B"/>
    <w:rsid w:val="00371CD1"/>
    <w:rsid w:val="00372369"/>
    <w:rsid w:val="00372F20"/>
    <w:rsid w:val="00373BC5"/>
    <w:rsid w:val="003751DA"/>
    <w:rsid w:val="003760D3"/>
    <w:rsid w:val="003775F1"/>
    <w:rsid w:val="00380179"/>
    <w:rsid w:val="00380538"/>
    <w:rsid w:val="003806EC"/>
    <w:rsid w:val="00380EB4"/>
    <w:rsid w:val="0038136B"/>
    <w:rsid w:val="003816B7"/>
    <w:rsid w:val="00381AE8"/>
    <w:rsid w:val="003821FE"/>
    <w:rsid w:val="00382ABA"/>
    <w:rsid w:val="003836D4"/>
    <w:rsid w:val="0038376D"/>
    <w:rsid w:val="003846C2"/>
    <w:rsid w:val="0038493D"/>
    <w:rsid w:val="0038535B"/>
    <w:rsid w:val="00385DAB"/>
    <w:rsid w:val="0038600B"/>
    <w:rsid w:val="003868AF"/>
    <w:rsid w:val="00386E40"/>
    <w:rsid w:val="00387AEC"/>
    <w:rsid w:val="00387BCA"/>
    <w:rsid w:val="00387E9A"/>
    <w:rsid w:val="00390543"/>
    <w:rsid w:val="00390EA6"/>
    <w:rsid w:val="00390ED6"/>
    <w:rsid w:val="00391164"/>
    <w:rsid w:val="003911BD"/>
    <w:rsid w:val="00391902"/>
    <w:rsid w:val="0039267F"/>
    <w:rsid w:val="00392C58"/>
    <w:rsid w:val="00392E5F"/>
    <w:rsid w:val="00393155"/>
    <w:rsid w:val="003934CA"/>
    <w:rsid w:val="003938BF"/>
    <w:rsid w:val="0039495E"/>
    <w:rsid w:val="00395097"/>
    <w:rsid w:val="003952FA"/>
    <w:rsid w:val="00395A86"/>
    <w:rsid w:val="00395E59"/>
    <w:rsid w:val="0039764C"/>
    <w:rsid w:val="003976D1"/>
    <w:rsid w:val="003A02BF"/>
    <w:rsid w:val="003A0390"/>
    <w:rsid w:val="003A0888"/>
    <w:rsid w:val="003A0BC3"/>
    <w:rsid w:val="003A1251"/>
    <w:rsid w:val="003A15CA"/>
    <w:rsid w:val="003A1B0D"/>
    <w:rsid w:val="003A1EF1"/>
    <w:rsid w:val="003A3AB3"/>
    <w:rsid w:val="003A48AD"/>
    <w:rsid w:val="003A4961"/>
    <w:rsid w:val="003A4C1E"/>
    <w:rsid w:val="003A4EEA"/>
    <w:rsid w:val="003A541A"/>
    <w:rsid w:val="003A6CE9"/>
    <w:rsid w:val="003A7060"/>
    <w:rsid w:val="003A7364"/>
    <w:rsid w:val="003A79C7"/>
    <w:rsid w:val="003A7F5E"/>
    <w:rsid w:val="003B04CB"/>
    <w:rsid w:val="003B0DE1"/>
    <w:rsid w:val="003B27FC"/>
    <w:rsid w:val="003B36E3"/>
    <w:rsid w:val="003B39B6"/>
    <w:rsid w:val="003B3A70"/>
    <w:rsid w:val="003B4597"/>
    <w:rsid w:val="003B482E"/>
    <w:rsid w:val="003B4858"/>
    <w:rsid w:val="003B4D89"/>
    <w:rsid w:val="003B5A96"/>
    <w:rsid w:val="003B6253"/>
    <w:rsid w:val="003B650E"/>
    <w:rsid w:val="003B67AD"/>
    <w:rsid w:val="003B69CC"/>
    <w:rsid w:val="003B6EEA"/>
    <w:rsid w:val="003B70DE"/>
    <w:rsid w:val="003C00AE"/>
    <w:rsid w:val="003C0A47"/>
    <w:rsid w:val="003C0FA2"/>
    <w:rsid w:val="003C29F4"/>
    <w:rsid w:val="003C2F2E"/>
    <w:rsid w:val="003C40F5"/>
    <w:rsid w:val="003C471D"/>
    <w:rsid w:val="003C49D9"/>
    <w:rsid w:val="003C583F"/>
    <w:rsid w:val="003C594E"/>
    <w:rsid w:val="003C5CA8"/>
    <w:rsid w:val="003C604F"/>
    <w:rsid w:val="003C64FD"/>
    <w:rsid w:val="003C6707"/>
    <w:rsid w:val="003C6E76"/>
    <w:rsid w:val="003D0510"/>
    <w:rsid w:val="003D0539"/>
    <w:rsid w:val="003D0AD9"/>
    <w:rsid w:val="003D1925"/>
    <w:rsid w:val="003D1BAB"/>
    <w:rsid w:val="003D22FF"/>
    <w:rsid w:val="003D2519"/>
    <w:rsid w:val="003D2855"/>
    <w:rsid w:val="003D28F1"/>
    <w:rsid w:val="003D2CBB"/>
    <w:rsid w:val="003D3599"/>
    <w:rsid w:val="003D381F"/>
    <w:rsid w:val="003D399D"/>
    <w:rsid w:val="003D39CA"/>
    <w:rsid w:val="003D3CA6"/>
    <w:rsid w:val="003D538C"/>
    <w:rsid w:val="003D6492"/>
    <w:rsid w:val="003D66AA"/>
    <w:rsid w:val="003D72AB"/>
    <w:rsid w:val="003E036D"/>
    <w:rsid w:val="003E0BDD"/>
    <w:rsid w:val="003E0F26"/>
    <w:rsid w:val="003E0F5B"/>
    <w:rsid w:val="003E20D6"/>
    <w:rsid w:val="003E3FAF"/>
    <w:rsid w:val="003E4B4F"/>
    <w:rsid w:val="003E6387"/>
    <w:rsid w:val="003E67C1"/>
    <w:rsid w:val="003E6D3C"/>
    <w:rsid w:val="003F0572"/>
    <w:rsid w:val="003F1568"/>
    <w:rsid w:val="003F1650"/>
    <w:rsid w:val="003F273C"/>
    <w:rsid w:val="003F282F"/>
    <w:rsid w:val="003F2880"/>
    <w:rsid w:val="003F2C08"/>
    <w:rsid w:val="003F3A39"/>
    <w:rsid w:val="003F3F5C"/>
    <w:rsid w:val="003F4895"/>
    <w:rsid w:val="003F4D83"/>
    <w:rsid w:val="003F4EB9"/>
    <w:rsid w:val="003F509C"/>
    <w:rsid w:val="003F5803"/>
    <w:rsid w:val="003F59C4"/>
    <w:rsid w:val="003F5EAB"/>
    <w:rsid w:val="003F7739"/>
    <w:rsid w:val="003F7ABF"/>
    <w:rsid w:val="004000C2"/>
    <w:rsid w:val="00400166"/>
    <w:rsid w:val="00400B58"/>
    <w:rsid w:val="00401F5C"/>
    <w:rsid w:val="00404C5E"/>
    <w:rsid w:val="004050BB"/>
    <w:rsid w:val="00406465"/>
    <w:rsid w:val="004068E5"/>
    <w:rsid w:val="00410DBF"/>
    <w:rsid w:val="00410ED0"/>
    <w:rsid w:val="00411448"/>
    <w:rsid w:val="00412E35"/>
    <w:rsid w:val="0041303F"/>
    <w:rsid w:val="00413487"/>
    <w:rsid w:val="004134F8"/>
    <w:rsid w:val="004138CB"/>
    <w:rsid w:val="0041474B"/>
    <w:rsid w:val="00414B29"/>
    <w:rsid w:val="0041516B"/>
    <w:rsid w:val="00416080"/>
    <w:rsid w:val="00416E2A"/>
    <w:rsid w:val="004174F4"/>
    <w:rsid w:val="00417AD5"/>
    <w:rsid w:val="00417C6E"/>
    <w:rsid w:val="00417D2B"/>
    <w:rsid w:val="004210E9"/>
    <w:rsid w:val="00421BC8"/>
    <w:rsid w:val="00421D0A"/>
    <w:rsid w:val="00421E27"/>
    <w:rsid w:val="0042204F"/>
    <w:rsid w:val="004221E5"/>
    <w:rsid w:val="00422665"/>
    <w:rsid w:val="00422AB1"/>
    <w:rsid w:val="004233FA"/>
    <w:rsid w:val="0042396E"/>
    <w:rsid w:val="00423F7E"/>
    <w:rsid w:val="00424159"/>
    <w:rsid w:val="00424694"/>
    <w:rsid w:val="004248DF"/>
    <w:rsid w:val="00425D2C"/>
    <w:rsid w:val="004260E9"/>
    <w:rsid w:val="00426637"/>
    <w:rsid w:val="00427A23"/>
    <w:rsid w:val="00427FE1"/>
    <w:rsid w:val="00430823"/>
    <w:rsid w:val="00430953"/>
    <w:rsid w:val="004309DC"/>
    <w:rsid w:val="00430BA2"/>
    <w:rsid w:val="00430DB1"/>
    <w:rsid w:val="00430FCC"/>
    <w:rsid w:val="004317A1"/>
    <w:rsid w:val="0043199D"/>
    <w:rsid w:val="00431D1E"/>
    <w:rsid w:val="00432077"/>
    <w:rsid w:val="0043233A"/>
    <w:rsid w:val="0043279F"/>
    <w:rsid w:val="00434285"/>
    <w:rsid w:val="00434B25"/>
    <w:rsid w:val="00434B50"/>
    <w:rsid w:val="0043514C"/>
    <w:rsid w:val="004364F0"/>
    <w:rsid w:val="004364F4"/>
    <w:rsid w:val="00440365"/>
    <w:rsid w:val="00440877"/>
    <w:rsid w:val="004413AD"/>
    <w:rsid w:val="004415CE"/>
    <w:rsid w:val="00442518"/>
    <w:rsid w:val="00442992"/>
    <w:rsid w:val="00442E49"/>
    <w:rsid w:val="004435CF"/>
    <w:rsid w:val="00443BC4"/>
    <w:rsid w:val="00444017"/>
    <w:rsid w:val="00444CA0"/>
    <w:rsid w:val="0044609C"/>
    <w:rsid w:val="00446143"/>
    <w:rsid w:val="0044630D"/>
    <w:rsid w:val="00446409"/>
    <w:rsid w:val="0044649E"/>
    <w:rsid w:val="004502EC"/>
    <w:rsid w:val="004507A0"/>
    <w:rsid w:val="004509D1"/>
    <w:rsid w:val="0045220F"/>
    <w:rsid w:val="0045326E"/>
    <w:rsid w:val="00454CBA"/>
    <w:rsid w:val="00454ED4"/>
    <w:rsid w:val="00455161"/>
    <w:rsid w:val="00455A06"/>
    <w:rsid w:val="0045613F"/>
    <w:rsid w:val="00457B1C"/>
    <w:rsid w:val="00457C21"/>
    <w:rsid w:val="00457F04"/>
    <w:rsid w:val="00460518"/>
    <w:rsid w:val="00460987"/>
    <w:rsid w:val="00460A97"/>
    <w:rsid w:val="0046138D"/>
    <w:rsid w:val="0046285D"/>
    <w:rsid w:val="00462B75"/>
    <w:rsid w:val="00463441"/>
    <w:rsid w:val="004635CC"/>
    <w:rsid w:val="00464C36"/>
    <w:rsid w:val="00465EE1"/>
    <w:rsid w:val="004661A4"/>
    <w:rsid w:val="00466985"/>
    <w:rsid w:val="00466ED4"/>
    <w:rsid w:val="00467749"/>
    <w:rsid w:val="00467A7D"/>
    <w:rsid w:val="00467B16"/>
    <w:rsid w:val="00467B93"/>
    <w:rsid w:val="00467F48"/>
    <w:rsid w:val="0047024D"/>
    <w:rsid w:val="00470269"/>
    <w:rsid w:val="004731D7"/>
    <w:rsid w:val="00473F89"/>
    <w:rsid w:val="00474230"/>
    <w:rsid w:val="00475335"/>
    <w:rsid w:val="0047586A"/>
    <w:rsid w:val="00476B12"/>
    <w:rsid w:val="00476E75"/>
    <w:rsid w:val="00476EB4"/>
    <w:rsid w:val="0048043B"/>
    <w:rsid w:val="00481264"/>
    <w:rsid w:val="00481B44"/>
    <w:rsid w:val="00481C85"/>
    <w:rsid w:val="004825BB"/>
    <w:rsid w:val="00482667"/>
    <w:rsid w:val="00482E4F"/>
    <w:rsid w:val="0048307B"/>
    <w:rsid w:val="00483F04"/>
    <w:rsid w:val="0048457D"/>
    <w:rsid w:val="00484866"/>
    <w:rsid w:val="00484BD2"/>
    <w:rsid w:val="00485377"/>
    <w:rsid w:val="00485966"/>
    <w:rsid w:val="00486E63"/>
    <w:rsid w:val="00487465"/>
    <w:rsid w:val="00487968"/>
    <w:rsid w:val="00487DFC"/>
    <w:rsid w:val="00490038"/>
    <w:rsid w:val="00491069"/>
    <w:rsid w:val="00491458"/>
    <w:rsid w:val="00492F43"/>
    <w:rsid w:val="004937B2"/>
    <w:rsid w:val="00493859"/>
    <w:rsid w:val="00493CC3"/>
    <w:rsid w:val="00493FB6"/>
    <w:rsid w:val="00494589"/>
    <w:rsid w:val="00494BA0"/>
    <w:rsid w:val="0049578C"/>
    <w:rsid w:val="00496056"/>
    <w:rsid w:val="004962BF"/>
    <w:rsid w:val="00496680"/>
    <w:rsid w:val="004968F2"/>
    <w:rsid w:val="00497559"/>
    <w:rsid w:val="00497655"/>
    <w:rsid w:val="004A0339"/>
    <w:rsid w:val="004A0DCB"/>
    <w:rsid w:val="004A11ED"/>
    <w:rsid w:val="004A2783"/>
    <w:rsid w:val="004A36E5"/>
    <w:rsid w:val="004A4177"/>
    <w:rsid w:val="004A4233"/>
    <w:rsid w:val="004A42C2"/>
    <w:rsid w:val="004A4797"/>
    <w:rsid w:val="004A5BBA"/>
    <w:rsid w:val="004A5D69"/>
    <w:rsid w:val="004A72C3"/>
    <w:rsid w:val="004A74F4"/>
    <w:rsid w:val="004A7975"/>
    <w:rsid w:val="004B0762"/>
    <w:rsid w:val="004B4C90"/>
    <w:rsid w:val="004B4EB0"/>
    <w:rsid w:val="004B53A4"/>
    <w:rsid w:val="004B5787"/>
    <w:rsid w:val="004B5CCC"/>
    <w:rsid w:val="004B62FF"/>
    <w:rsid w:val="004B7205"/>
    <w:rsid w:val="004B782E"/>
    <w:rsid w:val="004B792C"/>
    <w:rsid w:val="004B7EBD"/>
    <w:rsid w:val="004C08D4"/>
    <w:rsid w:val="004C217E"/>
    <w:rsid w:val="004C26FE"/>
    <w:rsid w:val="004C2EC9"/>
    <w:rsid w:val="004C2FE0"/>
    <w:rsid w:val="004C441B"/>
    <w:rsid w:val="004C4468"/>
    <w:rsid w:val="004C448E"/>
    <w:rsid w:val="004C4651"/>
    <w:rsid w:val="004C4BA7"/>
    <w:rsid w:val="004C4E29"/>
    <w:rsid w:val="004C5DDA"/>
    <w:rsid w:val="004C61DC"/>
    <w:rsid w:val="004C64A7"/>
    <w:rsid w:val="004C6C25"/>
    <w:rsid w:val="004C71B8"/>
    <w:rsid w:val="004C7449"/>
    <w:rsid w:val="004D11FB"/>
    <w:rsid w:val="004D16A6"/>
    <w:rsid w:val="004D1DED"/>
    <w:rsid w:val="004D1E21"/>
    <w:rsid w:val="004D2452"/>
    <w:rsid w:val="004D2B6F"/>
    <w:rsid w:val="004D2F48"/>
    <w:rsid w:val="004D3468"/>
    <w:rsid w:val="004D46D5"/>
    <w:rsid w:val="004D47BF"/>
    <w:rsid w:val="004D49E9"/>
    <w:rsid w:val="004D4D90"/>
    <w:rsid w:val="004D4EE9"/>
    <w:rsid w:val="004D50DA"/>
    <w:rsid w:val="004D53E6"/>
    <w:rsid w:val="004D5523"/>
    <w:rsid w:val="004D579E"/>
    <w:rsid w:val="004D58A6"/>
    <w:rsid w:val="004D6A2C"/>
    <w:rsid w:val="004D6CCD"/>
    <w:rsid w:val="004D6D5C"/>
    <w:rsid w:val="004D709D"/>
    <w:rsid w:val="004D7362"/>
    <w:rsid w:val="004E018D"/>
    <w:rsid w:val="004E02B3"/>
    <w:rsid w:val="004E05AC"/>
    <w:rsid w:val="004E0672"/>
    <w:rsid w:val="004E0BCE"/>
    <w:rsid w:val="004E0C52"/>
    <w:rsid w:val="004E1106"/>
    <w:rsid w:val="004E1612"/>
    <w:rsid w:val="004E1F9B"/>
    <w:rsid w:val="004E365E"/>
    <w:rsid w:val="004E3DA5"/>
    <w:rsid w:val="004E4215"/>
    <w:rsid w:val="004E4DEE"/>
    <w:rsid w:val="004E4FDC"/>
    <w:rsid w:val="004E7569"/>
    <w:rsid w:val="004F00DD"/>
    <w:rsid w:val="004F18F9"/>
    <w:rsid w:val="004F24AD"/>
    <w:rsid w:val="004F3573"/>
    <w:rsid w:val="004F44F8"/>
    <w:rsid w:val="004F65C3"/>
    <w:rsid w:val="004F6FB3"/>
    <w:rsid w:val="004F7E4C"/>
    <w:rsid w:val="00500333"/>
    <w:rsid w:val="00500C05"/>
    <w:rsid w:val="005011EF"/>
    <w:rsid w:val="00501259"/>
    <w:rsid w:val="00501C23"/>
    <w:rsid w:val="0050228B"/>
    <w:rsid w:val="005023E7"/>
    <w:rsid w:val="00505FC3"/>
    <w:rsid w:val="00506C7C"/>
    <w:rsid w:val="00507B3D"/>
    <w:rsid w:val="005104EA"/>
    <w:rsid w:val="005105F7"/>
    <w:rsid w:val="00510C05"/>
    <w:rsid w:val="00511591"/>
    <w:rsid w:val="005119A9"/>
    <w:rsid w:val="0051254F"/>
    <w:rsid w:val="005134B9"/>
    <w:rsid w:val="00513834"/>
    <w:rsid w:val="00514514"/>
    <w:rsid w:val="005153C3"/>
    <w:rsid w:val="0051602D"/>
    <w:rsid w:val="00516808"/>
    <w:rsid w:val="00516F9E"/>
    <w:rsid w:val="00517907"/>
    <w:rsid w:val="00517DDE"/>
    <w:rsid w:val="00520B89"/>
    <w:rsid w:val="0052104D"/>
    <w:rsid w:val="005221E3"/>
    <w:rsid w:val="005222B0"/>
    <w:rsid w:val="0052322E"/>
    <w:rsid w:val="005232DC"/>
    <w:rsid w:val="00523A42"/>
    <w:rsid w:val="00523AF7"/>
    <w:rsid w:val="00523F76"/>
    <w:rsid w:val="00525FC7"/>
    <w:rsid w:val="00526731"/>
    <w:rsid w:val="00527A33"/>
    <w:rsid w:val="00527BCE"/>
    <w:rsid w:val="0053091E"/>
    <w:rsid w:val="00530ED6"/>
    <w:rsid w:val="00531281"/>
    <w:rsid w:val="00531C07"/>
    <w:rsid w:val="00531CC4"/>
    <w:rsid w:val="00532202"/>
    <w:rsid w:val="0053238F"/>
    <w:rsid w:val="00532D72"/>
    <w:rsid w:val="00534DA3"/>
    <w:rsid w:val="0053515D"/>
    <w:rsid w:val="005355E8"/>
    <w:rsid w:val="00535CDF"/>
    <w:rsid w:val="00535EDC"/>
    <w:rsid w:val="00536126"/>
    <w:rsid w:val="005361C9"/>
    <w:rsid w:val="005365E3"/>
    <w:rsid w:val="00537306"/>
    <w:rsid w:val="00537EEC"/>
    <w:rsid w:val="00540AA3"/>
    <w:rsid w:val="00540E2A"/>
    <w:rsid w:val="00540F29"/>
    <w:rsid w:val="00540F5E"/>
    <w:rsid w:val="0054179C"/>
    <w:rsid w:val="00541A1B"/>
    <w:rsid w:val="00541EA7"/>
    <w:rsid w:val="00542129"/>
    <w:rsid w:val="00542FA0"/>
    <w:rsid w:val="005440D7"/>
    <w:rsid w:val="005446F2"/>
    <w:rsid w:val="00546035"/>
    <w:rsid w:val="0054641E"/>
    <w:rsid w:val="00546508"/>
    <w:rsid w:val="005467A7"/>
    <w:rsid w:val="00546F66"/>
    <w:rsid w:val="005470DF"/>
    <w:rsid w:val="005479AC"/>
    <w:rsid w:val="00547C34"/>
    <w:rsid w:val="00550316"/>
    <w:rsid w:val="00550B4E"/>
    <w:rsid w:val="00551F3B"/>
    <w:rsid w:val="00552008"/>
    <w:rsid w:val="00552801"/>
    <w:rsid w:val="00552C57"/>
    <w:rsid w:val="00552D8A"/>
    <w:rsid w:val="00553960"/>
    <w:rsid w:val="00554BD9"/>
    <w:rsid w:val="00555BF9"/>
    <w:rsid w:val="00555C97"/>
    <w:rsid w:val="005604E2"/>
    <w:rsid w:val="00560767"/>
    <w:rsid w:val="0056139B"/>
    <w:rsid w:val="005618D5"/>
    <w:rsid w:val="00561D4C"/>
    <w:rsid w:val="00562455"/>
    <w:rsid w:val="00562558"/>
    <w:rsid w:val="00562C21"/>
    <w:rsid w:val="00563AD7"/>
    <w:rsid w:val="005647CD"/>
    <w:rsid w:val="00564BB5"/>
    <w:rsid w:val="00564BE4"/>
    <w:rsid w:val="00564FA7"/>
    <w:rsid w:val="005651E5"/>
    <w:rsid w:val="00566010"/>
    <w:rsid w:val="00566099"/>
    <w:rsid w:val="005662A3"/>
    <w:rsid w:val="00566307"/>
    <w:rsid w:val="0056645A"/>
    <w:rsid w:val="005669F0"/>
    <w:rsid w:val="00566E44"/>
    <w:rsid w:val="00567BDC"/>
    <w:rsid w:val="00567F01"/>
    <w:rsid w:val="005704E5"/>
    <w:rsid w:val="00570BF3"/>
    <w:rsid w:val="00570FF2"/>
    <w:rsid w:val="00571891"/>
    <w:rsid w:val="00571E20"/>
    <w:rsid w:val="00572274"/>
    <w:rsid w:val="00572688"/>
    <w:rsid w:val="0057277F"/>
    <w:rsid w:val="00573E62"/>
    <w:rsid w:val="005748DA"/>
    <w:rsid w:val="005748EB"/>
    <w:rsid w:val="005754FD"/>
    <w:rsid w:val="0057572E"/>
    <w:rsid w:val="00575E14"/>
    <w:rsid w:val="005776B6"/>
    <w:rsid w:val="005777B9"/>
    <w:rsid w:val="005802F9"/>
    <w:rsid w:val="0058054D"/>
    <w:rsid w:val="00580C61"/>
    <w:rsid w:val="00581326"/>
    <w:rsid w:val="0058229B"/>
    <w:rsid w:val="00582F50"/>
    <w:rsid w:val="00583E14"/>
    <w:rsid w:val="00584521"/>
    <w:rsid w:val="00585F20"/>
    <w:rsid w:val="00586112"/>
    <w:rsid w:val="005862DF"/>
    <w:rsid w:val="005864BA"/>
    <w:rsid w:val="005868CF"/>
    <w:rsid w:val="00586A73"/>
    <w:rsid w:val="00586FBB"/>
    <w:rsid w:val="00586FE6"/>
    <w:rsid w:val="00587099"/>
    <w:rsid w:val="00587AF9"/>
    <w:rsid w:val="005915FA"/>
    <w:rsid w:val="0059219F"/>
    <w:rsid w:val="00592AA0"/>
    <w:rsid w:val="00592B7F"/>
    <w:rsid w:val="0059334E"/>
    <w:rsid w:val="00593415"/>
    <w:rsid w:val="00593871"/>
    <w:rsid w:val="00595D5D"/>
    <w:rsid w:val="00596A7D"/>
    <w:rsid w:val="00596C1C"/>
    <w:rsid w:val="005979F3"/>
    <w:rsid w:val="005A01FB"/>
    <w:rsid w:val="005A066F"/>
    <w:rsid w:val="005A08D9"/>
    <w:rsid w:val="005A12D6"/>
    <w:rsid w:val="005A1304"/>
    <w:rsid w:val="005A1343"/>
    <w:rsid w:val="005A17B8"/>
    <w:rsid w:val="005A1C4E"/>
    <w:rsid w:val="005A1E7F"/>
    <w:rsid w:val="005A3746"/>
    <w:rsid w:val="005A3CB5"/>
    <w:rsid w:val="005A4B2E"/>
    <w:rsid w:val="005A4DCA"/>
    <w:rsid w:val="005A533F"/>
    <w:rsid w:val="005A5969"/>
    <w:rsid w:val="005A5B31"/>
    <w:rsid w:val="005A605A"/>
    <w:rsid w:val="005A6D77"/>
    <w:rsid w:val="005A6F8C"/>
    <w:rsid w:val="005B044F"/>
    <w:rsid w:val="005B05BB"/>
    <w:rsid w:val="005B0A2D"/>
    <w:rsid w:val="005B0D93"/>
    <w:rsid w:val="005B1B63"/>
    <w:rsid w:val="005B353B"/>
    <w:rsid w:val="005B42B1"/>
    <w:rsid w:val="005B4A7C"/>
    <w:rsid w:val="005B4E8B"/>
    <w:rsid w:val="005B5705"/>
    <w:rsid w:val="005B5E30"/>
    <w:rsid w:val="005B62ED"/>
    <w:rsid w:val="005B644A"/>
    <w:rsid w:val="005B6537"/>
    <w:rsid w:val="005B6BF5"/>
    <w:rsid w:val="005B79CB"/>
    <w:rsid w:val="005C0144"/>
    <w:rsid w:val="005C0BB9"/>
    <w:rsid w:val="005C1281"/>
    <w:rsid w:val="005C13CD"/>
    <w:rsid w:val="005C160B"/>
    <w:rsid w:val="005C1E44"/>
    <w:rsid w:val="005C21EE"/>
    <w:rsid w:val="005C2AAC"/>
    <w:rsid w:val="005C3102"/>
    <w:rsid w:val="005C3906"/>
    <w:rsid w:val="005C3FDA"/>
    <w:rsid w:val="005C558E"/>
    <w:rsid w:val="005C5C41"/>
    <w:rsid w:val="005C741F"/>
    <w:rsid w:val="005C7AE8"/>
    <w:rsid w:val="005D04D4"/>
    <w:rsid w:val="005D08E3"/>
    <w:rsid w:val="005D09D9"/>
    <w:rsid w:val="005D11CA"/>
    <w:rsid w:val="005D2489"/>
    <w:rsid w:val="005D2504"/>
    <w:rsid w:val="005D295D"/>
    <w:rsid w:val="005D5F06"/>
    <w:rsid w:val="005D5FB7"/>
    <w:rsid w:val="005D61AE"/>
    <w:rsid w:val="005D6C03"/>
    <w:rsid w:val="005D70A1"/>
    <w:rsid w:val="005D7921"/>
    <w:rsid w:val="005E034D"/>
    <w:rsid w:val="005E065E"/>
    <w:rsid w:val="005E0E21"/>
    <w:rsid w:val="005E1668"/>
    <w:rsid w:val="005E18DA"/>
    <w:rsid w:val="005E19D7"/>
    <w:rsid w:val="005E2017"/>
    <w:rsid w:val="005E27BE"/>
    <w:rsid w:val="005E295C"/>
    <w:rsid w:val="005E2B50"/>
    <w:rsid w:val="005E30D2"/>
    <w:rsid w:val="005E4B56"/>
    <w:rsid w:val="005E51F4"/>
    <w:rsid w:val="005E6C71"/>
    <w:rsid w:val="005E713B"/>
    <w:rsid w:val="005E7C3A"/>
    <w:rsid w:val="005F2D37"/>
    <w:rsid w:val="005F3375"/>
    <w:rsid w:val="005F3A9D"/>
    <w:rsid w:val="005F3B93"/>
    <w:rsid w:val="005F4731"/>
    <w:rsid w:val="005F4F36"/>
    <w:rsid w:val="005F5091"/>
    <w:rsid w:val="005F5271"/>
    <w:rsid w:val="005F65DB"/>
    <w:rsid w:val="005F6BF7"/>
    <w:rsid w:val="005F74FA"/>
    <w:rsid w:val="005F76FD"/>
    <w:rsid w:val="00600037"/>
    <w:rsid w:val="0060017B"/>
    <w:rsid w:val="006002EC"/>
    <w:rsid w:val="00601E3C"/>
    <w:rsid w:val="006037EA"/>
    <w:rsid w:val="00604B16"/>
    <w:rsid w:val="00605109"/>
    <w:rsid w:val="0060565D"/>
    <w:rsid w:val="00605E79"/>
    <w:rsid w:val="00606152"/>
    <w:rsid w:val="00607283"/>
    <w:rsid w:val="006074AE"/>
    <w:rsid w:val="00607656"/>
    <w:rsid w:val="00607746"/>
    <w:rsid w:val="006100BE"/>
    <w:rsid w:val="006106D7"/>
    <w:rsid w:val="00611128"/>
    <w:rsid w:val="00611C7D"/>
    <w:rsid w:val="0061292D"/>
    <w:rsid w:val="00612A62"/>
    <w:rsid w:val="00612F24"/>
    <w:rsid w:val="006131C1"/>
    <w:rsid w:val="00613428"/>
    <w:rsid w:val="00613558"/>
    <w:rsid w:val="006141FE"/>
    <w:rsid w:val="00614348"/>
    <w:rsid w:val="006143E4"/>
    <w:rsid w:val="006146F6"/>
    <w:rsid w:val="00614E63"/>
    <w:rsid w:val="0061639E"/>
    <w:rsid w:val="006167BC"/>
    <w:rsid w:val="006171AB"/>
    <w:rsid w:val="006207A8"/>
    <w:rsid w:val="006223C5"/>
    <w:rsid w:val="00622760"/>
    <w:rsid w:val="00623345"/>
    <w:rsid w:val="00623617"/>
    <w:rsid w:val="006236D0"/>
    <w:rsid w:val="00623F73"/>
    <w:rsid w:val="0062415D"/>
    <w:rsid w:val="00626193"/>
    <w:rsid w:val="0062663E"/>
    <w:rsid w:val="0062763A"/>
    <w:rsid w:val="00627B12"/>
    <w:rsid w:val="00627DFE"/>
    <w:rsid w:val="00627FBC"/>
    <w:rsid w:val="006300F0"/>
    <w:rsid w:val="00630338"/>
    <w:rsid w:val="00631BC6"/>
    <w:rsid w:val="00631F58"/>
    <w:rsid w:val="00632BE0"/>
    <w:rsid w:val="00632EA7"/>
    <w:rsid w:val="006346B7"/>
    <w:rsid w:val="006358A5"/>
    <w:rsid w:val="00635B14"/>
    <w:rsid w:val="00635C33"/>
    <w:rsid w:val="00635DDE"/>
    <w:rsid w:val="00635F4C"/>
    <w:rsid w:val="00637E6F"/>
    <w:rsid w:val="00637F0D"/>
    <w:rsid w:val="00640875"/>
    <w:rsid w:val="00640DDE"/>
    <w:rsid w:val="00640E0A"/>
    <w:rsid w:val="00641ED6"/>
    <w:rsid w:val="006427CF"/>
    <w:rsid w:val="006427DA"/>
    <w:rsid w:val="00642BF0"/>
    <w:rsid w:val="00643950"/>
    <w:rsid w:val="00645834"/>
    <w:rsid w:val="00646456"/>
    <w:rsid w:val="00646E4E"/>
    <w:rsid w:val="00647358"/>
    <w:rsid w:val="0064753E"/>
    <w:rsid w:val="00647929"/>
    <w:rsid w:val="00647C84"/>
    <w:rsid w:val="00647DC1"/>
    <w:rsid w:val="006505F6"/>
    <w:rsid w:val="00652E54"/>
    <w:rsid w:val="006532A2"/>
    <w:rsid w:val="006535A4"/>
    <w:rsid w:val="00653852"/>
    <w:rsid w:val="0065438F"/>
    <w:rsid w:val="006551C5"/>
    <w:rsid w:val="00655BD6"/>
    <w:rsid w:val="006563BC"/>
    <w:rsid w:val="006567F6"/>
    <w:rsid w:val="006574AB"/>
    <w:rsid w:val="006574B5"/>
    <w:rsid w:val="00657E6A"/>
    <w:rsid w:val="00660091"/>
    <w:rsid w:val="00660676"/>
    <w:rsid w:val="006606C2"/>
    <w:rsid w:val="006616D3"/>
    <w:rsid w:val="006616F0"/>
    <w:rsid w:val="00661B63"/>
    <w:rsid w:val="00663979"/>
    <w:rsid w:val="006641A1"/>
    <w:rsid w:val="0066442A"/>
    <w:rsid w:val="0066452D"/>
    <w:rsid w:val="00665B16"/>
    <w:rsid w:val="006661A5"/>
    <w:rsid w:val="006661C5"/>
    <w:rsid w:val="00666978"/>
    <w:rsid w:val="0066733C"/>
    <w:rsid w:val="00667535"/>
    <w:rsid w:val="0067049D"/>
    <w:rsid w:val="00670F5C"/>
    <w:rsid w:val="00671149"/>
    <w:rsid w:val="006724A5"/>
    <w:rsid w:val="00673B21"/>
    <w:rsid w:val="0067412B"/>
    <w:rsid w:val="0067486B"/>
    <w:rsid w:val="00676914"/>
    <w:rsid w:val="00676A07"/>
    <w:rsid w:val="00676D36"/>
    <w:rsid w:val="0067758D"/>
    <w:rsid w:val="00677BE1"/>
    <w:rsid w:val="00677D38"/>
    <w:rsid w:val="0068019B"/>
    <w:rsid w:val="00680690"/>
    <w:rsid w:val="00680897"/>
    <w:rsid w:val="00681E3B"/>
    <w:rsid w:val="00681EED"/>
    <w:rsid w:val="006822A9"/>
    <w:rsid w:val="00682E77"/>
    <w:rsid w:val="00684678"/>
    <w:rsid w:val="0068519B"/>
    <w:rsid w:val="00685A3C"/>
    <w:rsid w:val="00685FFD"/>
    <w:rsid w:val="00686348"/>
    <w:rsid w:val="0068645D"/>
    <w:rsid w:val="006869A1"/>
    <w:rsid w:val="0069066C"/>
    <w:rsid w:val="0069087D"/>
    <w:rsid w:val="00690C65"/>
    <w:rsid w:val="00690E99"/>
    <w:rsid w:val="00690F4E"/>
    <w:rsid w:val="00690F80"/>
    <w:rsid w:val="00691886"/>
    <w:rsid w:val="00691AA5"/>
    <w:rsid w:val="00692C4A"/>
    <w:rsid w:val="00692CEA"/>
    <w:rsid w:val="00693CE1"/>
    <w:rsid w:val="00693D5C"/>
    <w:rsid w:val="006949B3"/>
    <w:rsid w:val="00695382"/>
    <w:rsid w:val="0069565E"/>
    <w:rsid w:val="006966BA"/>
    <w:rsid w:val="00696C9E"/>
    <w:rsid w:val="006975E4"/>
    <w:rsid w:val="006979B0"/>
    <w:rsid w:val="006A02E5"/>
    <w:rsid w:val="006A05E8"/>
    <w:rsid w:val="006A0BD8"/>
    <w:rsid w:val="006A0EC0"/>
    <w:rsid w:val="006A10E3"/>
    <w:rsid w:val="006A1180"/>
    <w:rsid w:val="006A179F"/>
    <w:rsid w:val="006A1E6F"/>
    <w:rsid w:val="006A2C4A"/>
    <w:rsid w:val="006A3190"/>
    <w:rsid w:val="006A38AA"/>
    <w:rsid w:val="006A3C6A"/>
    <w:rsid w:val="006A3E05"/>
    <w:rsid w:val="006A541B"/>
    <w:rsid w:val="006A5889"/>
    <w:rsid w:val="006A6630"/>
    <w:rsid w:val="006A664A"/>
    <w:rsid w:val="006A6A73"/>
    <w:rsid w:val="006A7867"/>
    <w:rsid w:val="006A7918"/>
    <w:rsid w:val="006B1458"/>
    <w:rsid w:val="006B21F0"/>
    <w:rsid w:val="006B262E"/>
    <w:rsid w:val="006B2EED"/>
    <w:rsid w:val="006B2FD1"/>
    <w:rsid w:val="006B444E"/>
    <w:rsid w:val="006B4AF7"/>
    <w:rsid w:val="006B533B"/>
    <w:rsid w:val="006B5341"/>
    <w:rsid w:val="006B5D8D"/>
    <w:rsid w:val="006B7622"/>
    <w:rsid w:val="006B7AF7"/>
    <w:rsid w:val="006B7C4B"/>
    <w:rsid w:val="006C0B26"/>
    <w:rsid w:val="006C0F59"/>
    <w:rsid w:val="006C0FD6"/>
    <w:rsid w:val="006C2D13"/>
    <w:rsid w:val="006C2EF3"/>
    <w:rsid w:val="006C4696"/>
    <w:rsid w:val="006C47B8"/>
    <w:rsid w:val="006C58F0"/>
    <w:rsid w:val="006C59B3"/>
    <w:rsid w:val="006C5A4E"/>
    <w:rsid w:val="006C5A7A"/>
    <w:rsid w:val="006C5D86"/>
    <w:rsid w:val="006C64EB"/>
    <w:rsid w:val="006C6785"/>
    <w:rsid w:val="006C792A"/>
    <w:rsid w:val="006D13A7"/>
    <w:rsid w:val="006D1BBB"/>
    <w:rsid w:val="006D24FC"/>
    <w:rsid w:val="006D2822"/>
    <w:rsid w:val="006D29C7"/>
    <w:rsid w:val="006D2D6C"/>
    <w:rsid w:val="006D3C2C"/>
    <w:rsid w:val="006D3F07"/>
    <w:rsid w:val="006D44AA"/>
    <w:rsid w:val="006D59CC"/>
    <w:rsid w:val="006D5AA2"/>
    <w:rsid w:val="006D5CAD"/>
    <w:rsid w:val="006D6415"/>
    <w:rsid w:val="006D6815"/>
    <w:rsid w:val="006D6961"/>
    <w:rsid w:val="006D6FB9"/>
    <w:rsid w:val="006D7A7E"/>
    <w:rsid w:val="006E0831"/>
    <w:rsid w:val="006E1CD1"/>
    <w:rsid w:val="006E200F"/>
    <w:rsid w:val="006E2EA4"/>
    <w:rsid w:val="006E3120"/>
    <w:rsid w:val="006E36DD"/>
    <w:rsid w:val="006E3FEE"/>
    <w:rsid w:val="006E4315"/>
    <w:rsid w:val="006E51AC"/>
    <w:rsid w:val="006E51E4"/>
    <w:rsid w:val="006E5549"/>
    <w:rsid w:val="006E55BF"/>
    <w:rsid w:val="006E5E6B"/>
    <w:rsid w:val="006E6517"/>
    <w:rsid w:val="006E6F1F"/>
    <w:rsid w:val="006E7039"/>
    <w:rsid w:val="006E719B"/>
    <w:rsid w:val="006E7829"/>
    <w:rsid w:val="006E7C3C"/>
    <w:rsid w:val="006F0F43"/>
    <w:rsid w:val="006F1469"/>
    <w:rsid w:val="006F188E"/>
    <w:rsid w:val="006F2C5C"/>
    <w:rsid w:val="006F2E77"/>
    <w:rsid w:val="006F33FA"/>
    <w:rsid w:val="006F3478"/>
    <w:rsid w:val="006F3CD1"/>
    <w:rsid w:val="006F410D"/>
    <w:rsid w:val="006F4682"/>
    <w:rsid w:val="006F63C4"/>
    <w:rsid w:val="007007D7"/>
    <w:rsid w:val="00700D08"/>
    <w:rsid w:val="00700FC0"/>
    <w:rsid w:val="00701874"/>
    <w:rsid w:val="00701C8A"/>
    <w:rsid w:val="00701CE4"/>
    <w:rsid w:val="00701D01"/>
    <w:rsid w:val="00702218"/>
    <w:rsid w:val="0070400C"/>
    <w:rsid w:val="00704712"/>
    <w:rsid w:val="00704B6E"/>
    <w:rsid w:val="00705662"/>
    <w:rsid w:val="00705AD5"/>
    <w:rsid w:val="00705D5D"/>
    <w:rsid w:val="007066A9"/>
    <w:rsid w:val="00706B19"/>
    <w:rsid w:val="00706F64"/>
    <w:rsid w:val="00707374"/>
    <w:rsid w:val="00710460"/>
    <w:rsid w:val="0071145B"/>
    <w:rsid w:val="00711520"/>
    <w:rsid w:val="007117A8"/>
    <w:rsid w:val="00712C54"/>
    <w:rsid w:val="007137B6"/>
    <w:rsid w:val="00714009"/>
    <w:rsid w:val="00716255"/>
    <w:rsid w:val="00716D23"/>
    <w:rsid w:val="0071709C"/>
    <w:rsid w:val="007176E5"/>
    <w:rsid w:val="00717738"/>
    <w:rsid w:val="00717A7E"/>
    <w:rsid w:val="0072017C"/>
    <w:rsid w:val="007205FE"/>
    <w:rsid w:val="00720A0D"/>
    <w:rsid w:val="00720C5B"/>
    <w:rsid w:val="007214E7"/>
    <w:rsid w:val="0072152F"/>
    <w:rsid w:val="00721E4A"/>
    <w:rsid w:val="00722136"/>
    <w:rsid w:val="00724068"/>
    <w:rsid w:val="007258D0"/>
    <w:rsid w:val="0072590E"/>
    <w:rsid w:val="0072661D"/>
    <w:rsid w:val="007274FE"/>
    <w:rsid w:val="00727841"/>
    <w:rsid w:val="0073042C"/>
    <w:rsid w:val="00731CB2"/>
    <w:rsid w:val="007322A7"/>
    <w:rsid w:val="007324B2"/>
    <w:rsid w:val="00734ED2"/>
    <w:rsid w:val="007351DD"/>
    <w:rsid w:val="0073596A"/>
    <w:rsid w:val="00735AB9"/>
    <w:rsid w:val="00735C4B"/>
    <w:rsid w:val="00735E81"/>
    <w:rsid w:val="00735F32"/>
    <w:rsid w:val="00735F58"/>
    <w:rsid w:val="00740125"/>
    <w:rsid w:val="00740345"/>
    <w:rsid w:val="00740F75"/>
    <w:rsid w:val="00741041"/>
    <w:rsid w:val="0074107F"/>
    <w:rsid w:val="007411B0"/>
    <w:rsid w:val="00741C77"/>
    <w:rsid w:val="00742126"/>
    <w:rsid w:val="007425D8"/>
    <w:rsid w:val="00742841"/>
    <w:rsid w:val="00743050"/>
    <w:rsid w:val="007436AC"/>
    <w:rsid w:val="00743748"/>
    <w:rsid w:val="00743DF2"/>
    <w:rsid w:val="0074410F"/>
    <w:rsid w:val="00744909"/>
    <w:rsid w:val="007453DA"/>
    <w:rsid w:val="007465F3"/>
    <w:rsid w:val="00746E3B"/>
    <w:rsid w:val="00746ECD"/>
    <w:rsid w:val="0074761F"/>
    <w:rsid w:val="007512AA"/>
    <w:rsid w:val="00751AED"/>
    <w:rsid w:val="00751F2E"/>
    <w:rsid w:val="00751F94"/>
    <w:rsid w:val="007530C8"/>
    <w:rsid w:val="00753A8C"/>
    <w:rsid w:val="00753B49"/>
    <w:rsid w:val="00754008"/>
    <w:rsid w:val="0075468E"/>
    <w:rsid w:val="007550DB"/>
    <w:rsid w:val="0075586A"/>
    <w:rsid w:val="00755F78"/>
    <w:rsid w:val="00756034"/>
    <w:rsid w:val="0075608B"/>
    <w:rsid w:val="007564A9"/>
    <w:rsid w:val="0075684B"/>
    <w:rsid w:val="00756DD7"/>
    <w:rsid w:val="00757685"/>
    <w:rsid w:val="0076006F"/>
    <w:rsid w:val="007612D5"/>
    <w:rsid w:val="00763081"/>
    <w:rsid w:val="007636B6"/>
    <w:rsid w:val="00763760"/>
    <w:rsid w:val="00764385"/>
    <w:rsid w:val="0076506B"/>
    <w:rsid w:val="007657E2"/>
    <w:rsid w:val="007659A1"/>
    <w:rsid w:val="00766407"/>
    <w:rsid w:val="00766859"/>
    <w:rsid w:val="0076697B"/>
    <w:rsid w:val="00766F00"/>
    <w:rsid w:val="0076705A"/>
    <w:rsid w:val="00767F69"/>
    <w:rsid w:val="00770A10"/>
    <w:rsid w:val="007710CA"/>
    <w:rsid w:val="00771FEF"/>
    <w:rsid w:val="00772450"/>
    <w:rsid w:val="00773B80"/>
    <w:rsid w:val="00775B80"/>
    <w:rsid w:val="00775FE3"/>
    <w:rsid w:val="00776379"/>
    <w:rsid w:val="007765E9"/>
    <w:rsid w:val="00776CB4"/>
    <w:rsid w:val="00777AC0"/>
    <w:rsid w:val="0078058E"/>
    <w:rsid w:val="00780938"/>
    <w:rsid w:val="007817C3"/>
    <w:rsid w:val="007827F0"/>
    <w:rsid w:val="00782A74"/>
    <w:rsid w:val="00782C0D"/>
    <w:rsid w:val="00783218"/>
    <w:rsid w:val="00783A59"/>
    <w:rsid w:val="007851EF"/>
    <w:rsid w:val="00785D3B"/>
    <w:rsid w:val="00785E69"/>
    <w:rsid w:val="00786A27"/>
    <w:rsid w:val="00787833"/>
    <w:rsid w:val="0079050E"/>
    <w:rsid w:val="00790792"/>
    <w:rsid w:val="007907F7"/>
    <w:rsid w:val="00790807"/>
    <w:rsid w:val="00791C94"/>
    <w:rsid w:val="007927B3"/>
    <w:rsid w:val="00793307"/>
    <w:rsid w:val="00793EAF"/>
    <w:rsid w:val="00793F9A"/>
    <w:rsid w:val="00794506"/>
    <w:rsid w:val="00794E20"/>
    <w:rsid w:val="007969E9"/>
    <w:rsid w:val="00796E04"/>
    <w:rsid w:val="00797059"/>
    <w:rsid w:val="00797454"/>
    <w:rsid w:val="00797730"/>
    <w:rsid w:val="00797D7F"/>
    <w:rsid w:val="007A0533"/>
    <w:rsid w:val="007A0698"/>
    <w:rsid w:val="007A165F"/>
    <w:rsid w:val="007A29A2"/>
    <w:rsid w:val="007A2DE1"/>
    <w:rsid w:val="007A35E8"/>
    <w:rsid w:val="007A3796"/>
    <w:rsid w:val="007A3E43"/>
    <w:rsid w:val="007A438A"/>
    <w:rsid w:val="007A4399"/>
    <w:rsid w:val="007A52A6"/>
    <w:rsid w:val="007A5705"/>
    <w:rsid w:val="007A6513"/>
    <w:rsid w:val="007A6886"/>
    <w:rsid w:val="007A68DC"/>
    <w:rsid w:val="007A695E"/>
    <w:rsid w:val="007A700D"/>
    <w:rsid w:val="007A7065"/>
    <w:rsid w:val="007B02B7"/>
    <w:rsid w:val="007B0AAB"/>
    <w:rsid w:val="007B0E39"/>
    <w:rsid w:val="007B10D4"/>
    <w:rsid w:val="007B178D"/>
    <w:rsid w:val="007B1E15"/>
    <w:rsid w:val="007B34A9"/>
    <w:rsid w:val="007B3800"/>
    <w:rsid w:val="007B71AD"/>
    <w:rsid w:val="007B747F"/>
    <w:rsid w:val="007B791A"/>
    <w:rsid w:val="007C008E"/>
    <w:rsid w:val="007C090C"/>
    <w:rsid w:val="007C12D4"/>
    <w:rsid w:val="007C1DE0"/>
    <w:rsid w:val="007C1FA1"/>
    <w:rsid w:val="007C251E"/>
    <w:rsid w:val="007C2FB9"/>
    <w:rsid w:val="007C3D71"/>
    <w:rsid w:val="007C53C8"/>
    <w:rsid w:val="007C579D"/>
    <w:rsid w:val="007C5B23"/>
    <w:rsid w:val="007C64E9"/>
    <w:rsid w:val="007C6603"/>
    <w:rsid w:val="007C738C"/>
    <w:rsid w:val="007C7C43"/>
    <w:rsid w:val="007D195E"/>
    <w:rsid w:val="007D1DBB"/>
    <w:rsid w:val="007D2985"/>
    <w:rsid w:val="007D31D5"/>
    <w:rsid w:val="007D345B"/>
    <w:rsid w:val="007D369B"/>
    <w:rsid w:val="007D3C96"/>
    <w:rsid w:val="007D3ECF"/>
    <w:rsid w:val="007D40CB"/>
    <w:rsid w:val="007D43D2"/>
    <w:rsid w:val="007D46A9"/>
    <w:rsid w:val="007D4D52"/>
    <w:rsid w:val="007D52FA"/>
    <w:rsid w:val="007D5AFB"/>
    <w:rsid w:val="007D5EAB"/>
    <w:rsid w:val="007D75CD"/>
    <w:rsid w:val="007E0D85"/>
    <w:rsid w:val="007E1442"/>
    <w:rsid w:val="007E1732"/>
    <w:rsid w:val="007E1BAB"/>
    <w:rsid w:val="007E2844"/>
    <w:rsid w:val="007E3594"/>
    <w:rsid w:val="007E4BC4"/>
    <w:rsid w:val="007E549F"/>
    <w:rsid w:val="007E57A8"/>
    <w:rsid w:val="007E5AC8"/>
    <w:rsid w:val="007E5DF6"/>
    <w:rsid w:val="007E628E"/>
    <w:rsid w:val="007E7AD2"/>
    <w:rsid w:val="007F07C9"/>
    <w:rsid w:val="007F0E1C"/>
    <w:rsid w:val="007F130C"/>
    <w:rsid w:val="007F1807"/>
    <w:rsid w:val="007F1EE4"/>
    <w:rsid w:val="007F2663"/>
    <w:rsid w:val="007F2B6F"/>
    <w:rsid w:val="007F3103"/>
    <w:rsid w:val="007F3984"/>
    <w:rsid w:val="007F45A3"/>
    <w:rsid w:val="007F5FD2"/>
    <w:rsid w:val="007F7224"/>
    <w:rsid w:val="007F7621"/>
    <w:rsid w:val="007F7A3C"/>
    <w:rsid w:val="008013E9"/>
    <w:rsid w:val="0080177B"/>
    <w:rsid w:val="00801A46"/>
    <w:rsid w:val="00801EB0"/>
    <w:rsid w:val="00802083"/>
    <w:rsid w:val="00802278"/>
    <w:rsid w:val="0080327D"/>
    <w:rsid w:val="008048C1"/>
    <w:rsid w:val="008050FA"/>
    <w:rsid w:val="008064D0"/>
    <w:rsid w:val="008074EC"/>
    <w:rsid w:val="00807540"/>
    <w:rsid w:val="00807674"/>
    <w:rsid w:val="00807876"/>
    <w:rsid w:val="00807923"/>
    <w:rsid w:val="00807A04"/>
    <w:rsid w:val="00807F77"/>
    <w:rsid w:val="008100BD"/>
    <w:rsid w:val="0081080C"/>
    <w:rsid w:val="008113B0"/>
    <w:rsid w:val="0081176D"/>
    <w:rsid w:val="00811D16"/>
    <w:rsid w:val="00811FA5"/>
    <w:rsid w:val="00812AF4"/>
    <w:rsid w:val="00813D70"/>
    <w:rsid w:val="00814381"/>
    <w:rsid w:val="00814F3C"/>
    <w:rsid w:val="00815150"/>
    <w:rsid w:val="00815392"/>
    <w:rsid w:val="0081603C"/>
    <w:rsid w:val="00816FFA"/>
    <w:rsid w:val="00817E50"/>
    <w:rsid w:val="00820A8B"/>
    <w:rsid w:val="00821C0C"/>
    <w:rsid w:val="00823222"/>
    <w:rsid w:val="00824A1D"/>
    <w:rsid w:val="00825203"/>
    <w:rsid w:val="00826523"/>
    <w:rsid w:val="008269FA"/>
    <w:rsid w:val="00826BC4"/>
    <w:rsid w:val="00826FF7"/>
    <w:rsid w:val="0082713F"/>
    <w:rsid w:val="008272A5"/>
    <w:rsid w:val="00830346"/>
    <w:rsid w:val="0083041E"/>
    <w:rsid w:val="00830610"/>
    <w:rsid w:val="00830839"/>
    <w:rsid w:val="00832C93"/>
    <w:rsid w:val="008332C1"/>
    <w:rsid w:val="00833668"/>
    <w:rsid w:val="00833696"/>
    <w:rsid w:val="00833921"/>
    <w:rsid w:val="00833C12"/>
    <w:rsid w:val="008343E4"/>
    <w:rsid w:val="00835F48"/>
    <w:rsid w:val="00836866"/>
    <w:rsid w:val="00836A82"/>
    <w:rsid w:val="00836DCF"/>
    <w:rsid w:val="008370F0"/>
    <w:rsid w:val="008374CD"/>
    <w:rsid w:val="00837AA4"/>
    <w:rsid w:val="00837B30"/>
    <w:rsid w:val="008401DD"/>
    <w:rsid w:val="00840540"/>
    <w:rsid w:val="00840AA2"/>
    <w:rsid w:val="00840DAD"/>
    <w:rsid w:val="008416E7"/>
    <w:rsid w:val="00841FDF"/>
    <w:rsid w:val="00843160"/>
    <w:rsid w:val="0084326C"/>
    <w:rsid w:val="00843B06"/>
    <w:rsid w:val="00843D8F"/>
    <w:rsid w:val="008441BD"/>
    <w:rsid w:val="0084431D"/>
    <w:rsid w:val="00844453"/>
    <w:rsid w:val="0084477D"/>
    <w:rsid w:val="008449BA"/>
    <w:rsid w:val="00844FF8"/>
    <w:rsid w:val="00845303"/>
    <w:rsid w:val="008453B4"/>
    <w:rsid w:val="008460D7"/>
    <w:rsid w:val="008463E5"/>
    <w:rsid w:val="00846A5E"/>
    <w:rsid w:val="008472FB"/>
    <w:rsid w:val="0084736E"/>
    <w:rsid w:val="00847AFF"/>
    <w:rsid w:val="00850295"/>
    <w:rsid w:val="00850D22"/>
    <w:rsid w:val="008520B4"/>
    <w:rsid w:val="00852680"/>
    <w:rsid w:val="00853AF3"/>
    <w:rsid w:val="008545FC"/>
    <w:rsid w:val="00854BB4"/>
    <w:rsid w:val="00855500"/>
    <w:rsid w:val="008559B6"/>
    <w:rsid w:val="008573DA"/>
    <w:rsid w:val="00857782"/>
    <w:rsid w:val="008606C2"/>
    <w:rsid w:val="00860BB2"/>
    <w:rsid w:val="0086126E"/>
    <w:rsid w:val="00861582"/>
    <w:rsid w:val="00861CF1"/>
    <w:rsid w:val="008624C8"/>
    <w:rsid w:val="008626F9"/>
    <w:rsid w:val="0086299C"/>
    <w:rsid w:val="00863AF6"/>
    <w:rsid w:val="00863AFB"/>
    <w:rsid w:val="00863D30"/>
    <w:rsid w:val="00864583"/>
    <w:rsid w:val="00864963"/>
    <w:rsid w:val="00864A3C"/>
    <w:rsid w:val="00864B46"/>
    <w:rsid w:val="00865807"/>
    <w:rsid w:val="00865FD7"/>
    <w:rsid w:val="00866012"/>
    <w:rsid w:val="0086702C"/>
    <w:rsid w:val="0086783E"/>
    <w:rsid w:val="00867D66"/>
    <w:rsid w:val="00870368"/>
    <w:rsid w:val="00870696"/>
    <w:rsid w:val="008707B3"/>
    <w:rsid w:val="00870BE2"/>
    <w:rsid w:val="00871366"/>
    <w:rsid w:val="008718F4"/>
    <w:rsid w:val="0087233A"/>
    <w:rsid w:val="00873B99"/>
    <w:rsid w:val="00873D56"/>
    <w:rsid w:val="00873F3E"/>
    <w:rsid w:val="0087505F"/>
    <w:rsid w:val="008752C5"/>
    <w:rsid w:val="008761E0"/>
    <w:rsid w:val="0087710B"/>
    <w:rsid w:val="00877C0C"/>
    <w:rsid w:val="00880CAD"/>
    <w:rsid w:val="00881ADE"/>
    <w:rsid w:val="00882703"/>
    <w:rsid w:val="00882F7C"/>
    <w:rsid w:val="00883465"/>
    <w:rsid w:val="008834C2"/>
    <w:rsid w:val="008839D9"/>
    <w:rsid w:val="00883C06"/>
    <w:rsid w:val="00884536"/>
    <w:rsid w:val="008846D3"/>
    <w:rsid w:val="00884F32"/>
    <w:rsid w:val="008853F4"/>
    <w:rsid w:val="00885DEB"/>
    <w:rsid w:val="00886232"/>
    <w:rsid w:val="00886F29"/>
    <w:rsid w:val="00890445"/>
    <w:rsid w:val="00890F07"/>
    <w:rsid w:val="00891A61"/>
    <w:rsid w:val="00891FEE"/>
    <w:rsid w:val="0089233C"/>
    <w:rsid w:val="00892D0F"/>
    <w:rsid w:val="00892D27"/>
    <w:rsid w:val="00893218"/>
    <w:rsid w:val="00894469"/>
    <w:rsid w:val="00894E37"/>
    <w:rsid w:val="00895A0F"/>
    <w:rsid w:val="00895E17"/>
    <w:rsid w:val="00895EF8"/>
    <w:rsid w:val="008965FD"/>
    <w:rsid w:val="00896817"/>
    <w:rsid w:val="00896ECC"/>
    <w:rsid w:val="008A11FC"/>
    <w:rsid w:val="008A374B"/>
    <w:rsid w:val="008A422B"/>
    <w:rsid w:val="008A4646"/>
    <w:rsid w:val="008A46E9"/>
    <w:rsid w:val="008A47D1"/>
    <w:rsid w:val="008A5036"/>
    <w:rsid w:val="008A545C"/>
    <w:rsid w:val="008A6939"/>
    <w:rsid w:val="008A7114"/>
    <w:rsid w:val="008A73B1"/>
    <w:rsid w:val="008A77FA"/>
    <w:rsid w:val="008A7D50"/>
    <w:rsid w:val="008B147A"/>
    <w:rsid w:val="008B17F9"/>
    <w:rsid w:val="008B1D66"/>
    <w:rsid w:val="008B238A"/>
    <w:rsid w:val="008B4074"/>
    <w:rsid w:val="008B44EA"/>
    <w:rsid w:val="008B536F"/>
    <w:rsid w:val="008B6EF7"/>
    <w:rsid w:val="008B75E1"/>
    <w:rsid w:val="008B79A4"/>
    <w:rsid w:val="008B7A18"/>
    <w:rsid w:val="008B7C63"/>
    <w:rsid w:val="008C0957"/>
    <w:rsid w:val="008C0AB4"/>
    <w:rsid w:val="008C0CE8"/>
    <w:rsid w:val="008C0D3C"/>
    <w:rsid w:val="008C1BB9"/>
    <w:rsid w:val="008C1BD2"/>
    <w:rsid w:val="008C2344"/>
    <w:rsid w:val="008C2A25"/>
    <w:rsid w:val="008C2F2E"/>
    <w:rsid w:val="008C41CC"/>
    <w:rsid w:val="008C4509"/>
    <w:rsid w:val="008C4834"/>
    <w:rsid w:val="008C488F"/>
    <w:rsid w:val="008C4B13"/>
    <w:rsid w:val="008C53F3"/>
    <w:rsid w:val="008C5556"/>
    <w:rsid w:val="008C5FCC"/>
    <w:rsid w:val="008C615A"/>
    <w:rsid w:val="008C63FE"/>
    <w:rsid w:val="008C712C"/>
    <w:rsid w:val="008C77B9"/>
    <w:rsid w:val="008C7A7C"/>
    <w:rsid w:val="008D0700"/>
    <w:rsid w:val="008D0E0F"/>
    <w:rsid w:val="008D0E7D"/>
    <w:rsid w:val="008D1130"/>
    <w:rsid w:val="008D1284"/>
    <w:rsid w:val="008D1D04"/>
    <w:rsid w:val="008D2002"/>
    <w:rsid w:val="008D2B65"/>
    <w:rsid w:val="008D5189"/>
    <w:rsid w:val="008D5530"/>
    <w:rsid w:val="008D570C"/>
    <w:rsid w:val="008D5D80"/>
    <w:rsid w:val="008D662E"/>
    <w:rsid w:val="008D7BE2"/>
    <w:rsid w:val="008E01E8"/>
    <w:rsid w:val="008E0743"/>
    <w:rsid w:val="008E0C6E"/>
    <w:rsid w:val="008E0E5E"/>
    <w:rsid w:val="008E0FE7"/>
    <w:rsid w:val="008E2D7B"/>
    <w:rsid w:val="008E30D6"/>
    <w:rsid w:val="008E315F"/>
    <w:rsid w:val="008E3CE2"/>
    <w:rsid w:val="008E3FA5"/>
    <w:rsid w:val="008E66FC"/>
    <w:rsid w:val="008E7454"/>
    <w:rsid w:val="008E7F0F"/>
    <w:rsid w:val="008E7FA7"/>
    <w:rsid w:val="008F0169"/>
    <w:rsid w:val="008F036E"/>
    <w:rsid w:val="008F0981"/>
    <w:rsid w:val="008F1887"/>
    <w:rsid w:val="008F1F97"/>
    <w:rsid w:val="008F264F"/>
    <w:rsid w:val="008F34ED"/>
    <w:rsid w:val="008F362C"/>
    <w:rsid w:val="008F3673"/>
    <w:rsid w:val="008F3701"/>
    <w:rsid w:val="008F4252"/>
    <w:rsid w:val="008F426A"/>
    <w:rsid w:val="008F45DE"/>
    <w:rsid w:val="008F4849"/>
    <w:rsid w:val="008F6A9F"/>
    <w:rsid w:val="008F6ACF"/>
    <w:rsid w:val="008F735A"/>
    <w:rsid w:val="008F7C75"/>
    <w:rsid w:val="009003FF"/>
    <w:rsid w:val="009008EB"/>
    <w:rsid w:val="00901812"/>
    <w:rsid w:val="00901E44"/>
    <w:rsid w:val="00901EB8"/>
    <w:rsid w:val="0090212B"/>
    <w:rsid w:val="00903E70"/>
    <w:rsid w:val="00904BBE"/>
    <w:rsid w:val="00905C27"/>
    <w:rsid w:val="00905F94"/>
    <w:rsid w:val="00906363"/>
    <w:rsid w:val="00906D2E"/>
    <w:rsid w:val="009072E1"/>
    <w:rsid w:val="009101DC"/>
    <w:rsid w:val="00910DEE"/>
    <w:rsid w:val="00910FD2"/>
    <w:rsid w:val="009110C9"/>
    <w:rsid w:val="009111CC"/>
    <w:rsid w:val="009119A7"/>
    <w:rsid w:val="00911AD4"/>
    <w:rsid w:val="00911B22"/>
    <w:rsid w:val="00911F6F"/>
    <w:rsid w:val="00912D09"/>
    <w:rsid w:val="00914648"/>
    <w:rsid w:val="00915158"/>
    <w:rsid w:val="009154EB"/>
    <w:rsid w:val="00915869"/>
    <w:rsid w:val="009159C7"/>
    <w:rsid w:val="00915A00"/>
    <w:rsid w:val="009160A6"/>
    <w:rsid w:val="009161F7"/>
    <w:rsid w:val="00916F4B"/>
    <w:rsid w:val="0091787C"/>
    <w:rsid w:val="00917DC9"/>
    <w:rsid w:val="009205E2"/>
    <w:rsid w:val="00921072"/>
    <w:rsid w:val="00922322"/>
    <w:rsid w:val="00922A64"/>
    <w:rsid w:val="00922ABE"/>
    <w:rsid w:val="00923F69"/>
    <w:rsid w:val="00924BCB"/>
    <w:rsid w:val="00924CEB"/>
    <w:rsid w:val="009257F4"/>
    <w:rsid w:val="00925936"/>
    <w:rsid w:val="00926313"/>
    <w:rsid w:val="00926331"/>
    <w:rsid w:val="00926437"/>
    <w:rsid w:val="0092699F"/>
    <w:rsid w:val="009302BC"/>
    <w:rsid w:val="00930398"/>
    <w:rsid w:val="00930498"/>
    <w:rsid w:val="00930F50"/>
    <w:rsid w:val="00931410"/>
    <w:rsid w:val="0093278A"/>
    <w:rsid w:val="00932CA6"/>
    <w:rsid w:val="00933183"/>
    <w:rsid w:val="00933F38"/>
    <w:rsid w:val="00934B8A"/>
    <w:rsid w:val="00934C5D"/>
    <w:rsid w:val="009351D7"/>
    <w:rsid w:val="009352A7"/>
    <w:rsid w:val="00935717"/>
    <w:rsid w:val="00935BC2"/>
    <w:rsid w:val="009371E5"/>
    <w:rsid w:val="00937CAE"/>
    <w:rsid w:val="00937DCF"/>
    <w:rsid w:val="0094056F"/>
    <w:rsid w:val="009414D6"/>
    <w:rsid w:val="009416B4"/>
    <w:rsid w:val="00941D61"/>
    <w:rsid w:val="009429D1"/>
    <w:rsid w:val="009444E8"/>
    <w:rsid w:val="00944EFE"/>
    <w:rsid w:val="0094534D"/>
    <w:rsid w:val="00945711"/>
    <w:rsid w:val="00945E12"/>
    <w:rsid w:val="00946068"/>
    <w:rsid w:val="009463DE"/>
    <w:rsid w:val="00946411"/>
    <w:rsid w:val="00946815"/>
    <w:rsid w:val="009468B9"/>
    <w:rsid w:val="00947CDE"/>
    <w:rsid w:val="00950021"/>
    <w:rsid w:val="00950033"/>
    <w:rsid w:val="009525C4"/>
    <w:rsid w:val="00952BB2"/>
    <w:rsid w:val="00953B3B"/>
    <w:rsid w:val="00953C43"/>
    <w:rsid w:val="00953C6A"/>
    <w:rsid w:val="009544DD"/>
    <w:rsid w:val="00954893"/>
    <w:rsid w:val="00954B38"/>
    <w:rsid w:val="00954E5D"/>
    <w:rsid w:val="0095550A"/>
    <w:rsid w:val="00956152"/>
    <w:rsid w:val="009566B8"/>
    <w:rsid w:val="00956708"/>
    <w:rsid w:val="00956A37"/>
    <w:rsid w:val="00957032"/>
    <w:rsid w:val="009574BF"/>
    <w:rsid w:val="00957DAD"/>
    <w:rsid w:val="00960147"/>
    <w:rsid w:val="009612FF"/>
    <w:rsid w:val="009617BF"/>
    <w:rsid w:val="009624FE"/>
    <w:rsid w:val="00962584"/>
    <w:rsid w:val="009625D7"/>
    <w:rsid w:val="00962724"/>
    <w:rsid w:val="00962D22"/>
    <w:rsid w:val="0096381A"/>
    <w:rsid w:val="00963E74"/>
    <w:rsid w:val="00963EBB"/>
    <w:rsid w:val="00964263"/>
    <w:rsid w:val="009653C9"/>
    <w:rsid w:val="00965442"/>
    <w:rsid w:val="00965ACE"/>
    <w:rsid w:val="00965E15"/>
    <w:rsid w:val="009668A8"/>
    <w:rsid w:val="009669B2"/>
    <w:rsid w:val="00966C96"/>
    <w:rsid w:val="00967180"/>
    <w:rsid w:val="009671CD"/>
    <w:rsid w:val="009705B3"/>
    <w:rsid w:val="0097213B"/>
    <w:rsid w:val="009721B3"/>
    <w:rsid w:val="009721C8"/>
    <w:rsid w:val="009722F0"/>
    <w:rsid w:val="00972C3E"/>
    <w:rsid w:val="009738FA"/>
    <w:rsid w:val="009744BE"/>
    <w:rsid w:val="009749C4"/>
    <w:rsid w:val="00974E51"/>
    <w:rsid w:val="009754D5"/>
    <w:rsid w:val="00975F56"/>
    <w:rsid w:val="009761E1"/>
    <w:rsid w:val="00976572"/>
    <w:rsid w:val="00976614"/>
    <w:rsid w:val="00976C54"/>
    <w:rsid w:val="009770A3"/>
    <w:rsid w:val="00977C66"/>
    <w:rsid w:val="00980A5E"/>
    <w:rsid w:val="00980E9C"/>
    <w:rsid w:val="00980F1B"/>
    <w:rsid w:val="00981A7A"/>
    <w:rsid w:val="00982388"/>
    <w:rsid w:val="0098366D"/>
    <w:rsid w:val="00983800"/>
    <w:rsid w:val="009840BF"/>
    <w:rsid w:val="00984613"/>
    <w:rsid w:val="00984BBC"/>
    <w:rsid w:val="00986831"/>
    <w:rsid w:val="00986FCF"/>
    <w:rsid w:val="00987212"/>
    <w:rsid w:val="00990131"/>
    <w:rsid w:val="009902D4"/>
    <w:rsid w:val="00990464"/>
    <w:rsid w:val="009907BD"/>
    <w:rsid w:val="00991275"/>
    <w:rsid w:val="009917C8"/>
    <w:rsid w:val="00992825"/>
    <w:rsid w:val="00992C9B"/>
    <w:rsid w:val="00993201"/>
    <w:rsid w:val="00993578"/>
    <w:rsid w:val="00993CFB"/>
    <w:rsid w:val="0099406E"/>
    <w:rsid w:val="00995216"/>
    <w:rsid w:val="0099555A"/>
    <w:rsid w:val="00996D48"/>
    <w:rsid w:val="00996E3A"/>
    <w:rsid w:val="00996EAD"/>
    <w:rsid w:val="00996F45"/>
    <w:rsid w:val="00997B2A"/>
    <w:rsid w:val="009A00C7"/>
    <w:rsid w:val="009A0783"/>
    <w:rsid w:val="009A07BF"/>
    <w:rsid w:val="009A0B9A"/>
    <w:rsid w:val="009A0FEE"/>
    <w:rsid w:val="009A3349"/>
    <w:rsid w:val="009A3671"/>
    <w:rsid w:val="009A3C90"/>
    <w:rsid w:val="009A4103"/>
    <w:rsid w:val="009A50DE"/>
    <w:rsid w:val="009A5308"/>
    <w:rsid w:val="009A5551"/>
    <w:rsid w:val="009A5A81"/>
    <w:rsid w:val="009A5D23"/>
    <w:rsid w:val="009A606F"/>
    <w:rsid w:val="009A6505"/>
    <w:rsid w:val="009A6740"/>
    <w:rsid w:val="009A7574"/>
    <w:rsid w:val="009B0195"/>
    <w:rsid w:val="009B0E9B"/>
    <w:rsid w:val="009B1DC0"/>
    <w:rsid w:val="009B2297"/>
    <w:rsid w:val="009B229D"/>
    <w:rsid w:val="009B2778"/>
    <w:rsid w:val="009B29DF"/>
    <w:rsid w:val="009B2AA1"/>
    <w:rsid w:val="009B340A"/>
    <w:rsid w:val="009B389A"/>
    <w:rsid w:val="009B3EAA"/>
    <w:rsid w:val="009B3EB8"/>
    <w:rsid w:val="009B433D"/>
    <w:rsid w:val="009B4890"/>
    <w:rsid w:val="009B48CB"/>
    <w:rsid w:val="009B5357"/>
    <w:rsid w:val="009B571F"/>
    <w:rsid w:val="009B7744"/>
    <w:rsid w:val="009C03C6"/>
    <w:rsid w:val="009C0573"/>
    <w:rsid w:val="009C0EA5"/>
    <w:rsid w:val="009C0EBF"/>
    <w:rsid w:val="009C1192"/>
    <w:rsid w:val="009C17FB"/>
    <w:rsid w:val="009C19CF"/>
    <w:rsid w:val="009C27B9"/>
    <w:rsid w:val="009C2BC3"/>
    <w:rsid w:val="009C32C8"/>
    <w:rsid w:val="009C3F35"/>
    <w:rsid w:val="009C441C"/>
    <w:rsid w:val="009C48E7"/>
    <w:rsid w:val="009C4D29"/>
    <w:rsid w:val="009C504B"/>
    <w:rsid w:val="009C68C1"/>
    <w:rsid w:val="009D029C"/>
    <w:rsid w:val="009D1ECC"/>
    <w:rsid w:val="009D2C7F"/>
    <w:rsid w:val="009D36C0"/>
    <w:rsid w:val="009D5F8F"/>
    <w:rsid w:val="009D655A"/>
    <w:rsid w:val="009D7642"/>
    <w:rsid w:val="009D7808"/>
    <w:rsid w:val="009E1162"/>
    <w:rsid w:val="009E19ED"/>
    <w:rsid w:val="009E1AD9"/>
    <w:rsid w:val="009E2F63"/>
    <w:rsid w:val="009E306D"/>
    <w:rsid w:val="009E332D"/>
    <w:rsid w:val="009E3F46"/>
    <w:rsid w:val="009E4405"/>
    <w:rsid w:val="009E45E1"/>
    <w:rsid w:val="009E4BDD"/>
    <w:rsid w:val="009E4C5C"/>
    <w:rsid w:val="009E4DA0"/>
    <w:rsid w:val="009E5923"/>
    <w:rsid w:val="009E6FCE"/>
    <w:rsid w:val="009F0537"/>
    <w:rsid w:val="009F0CF8"/>
    <w:rsid w:val="009F0EAA"/>
    <w:rsid w:val="009F0FB0"/>
    <w:rsid w:val="009F213B"/>
    <w:rsid w:val="009F2A83"/>
    <w:rsid w:val="009F4387"/>
    <w:rsid w:val="009F5230"/>
    <w:rsid w:val="009F54AC"/>
    <w:rsid w:val="009F6223"/>
    <w:rsid w:val="009F6927"/>
    <w:rsid w:val="009F708B"/>
    <w:rsid w:val="00A00180"/>
    <w:rsid w:val="00A00F05"/>
    <w:rsid w:val="00A0104C"/>
    <w:rsid w:val="00A011F5"/>
    <w:rsid w:val="00A02746"/>
    <w:rsid w:val="00A055E9"/>
    <w:rsid w:val="00A05759"/>
    <w:rsid w:val="00A0575E"/>
    <w:rsid w:val="00A06B2C"/>
    <w:rsid w:val="00A07014"/>
    <w:rsid w:val="00A07344"/>
    <w:rsid w:val="00A07485"/>
    <w:rsid w:val="00A07756"/>
    <w:rsid w:val="00A11514"/>
    <w:rsid w:val="00A11EC4"/>
    <w:rsid w:val="00A11F1D"/>
    <w:rsid w:val="00A122CF"/>
    <w:rsid w:val="00A1280A"/>
    <w:rsid w:val="00A129EC"/>
    <w:rsid w:val="00A13F54"/>
    <w:rsid w:val="00A142D8"/>
    <w:rsid w:val="00A148FA"/>
    <w:rsid w:val="00A14C4F"/>
    <w:rsid w:val="00A15053"/>
    <w:rsid w:val="00A16179"/>
    <w:rsid w:val="00A166FA"/>
    <w:rsid w:val="00A169C5"/>
    <w:rsid w:val="00A16FB4"/>
    <w:rsid w:val="00A1714D"/>
    <w:rsid w:val="00A174C9"/>
    <w:rsid w:val="00A1757E"/>
    <w:rsid w:val="00A20CBD"/>
    <w:rsid w:val="00A222B9"/>
    <w:rsid w:val="00A23883"/>
    <w:rsid w:val="00A23BB3"/>
    <w:rsid w:val="00A23E88"/>
    <w:rsid w:val="00A246AD"/>
    <w:rsid w:val="00A24D35"/>
    <w:rsid w:val="00A24F9E"/>
    <w:rsid w:val="00A256A9"/>
    <w:rsid w:val="00A26325"/>
    <w:rsid w:val="00A26E21"/>
    <w:rsid w:val="00A26E88"/>
    <w:rsid w:val="00A3013E"/>
    <w:rsid w:val="00A30FB0"/>
    <w:rsid w:val="00A31C54"/>
    <w:rsid w:val="00A32983"/>
    <w:rsid w:val="00A32AE1"/>
    <w:rsid w:val="00A33AA3"/>
    <w:rsid w:val="00A3447B"/>
    <w:rsid w:val="00A35716"/>
    <w:rsid w:val="00A363D6"/>
    <w:rsid w:val="00A36803"/>
    <w:rsid w:val="00A368D3"/>
    <w:rsid w:val="00A37460"/>
    <w:rsid w:val="00A40B7E"/>
    <w:rsid w:val="00A41086"/>
    <w:rsid w:val="00A420EE"/>
    <w:rsid w:val="00A4323A"/>
    <w:rsid w:val="00A439EC"/>
    <w:rsid w:val="00A45669"/>
    <w:rsid w:val="00A45705"/>
    <w:rsid w:val="00A45769"/>
    <w:rsid w:val="00A45DDA"/>
    <w:rsid w:val="00A466B1"/>
    <w:rsid w:val="00A4685D"/>
    <w:rsid w:val="00A46A48"/>
    <w:rsid w:val="00A474DA"/>
    <w:rsid w:val="00A47938"/>
    <w:rsid w:val="00A47F3B"/>
    <w:rsid w:val="00A5073A"/>
    <w:rsid w:val="00A50F4B"/>
    <w:rsid w:val="00A520D2"/>
    <w:rsid w:val="00A53F9F"/>
    <w:rsid w:val="00A54375"/>
    <w:rsid w:val="00A544C3"/>
    <w:rsid w:val="00A548C5"/>
    <w:rsid w:val="00A54E77"/>
    <w:rsid w:val="00A55202"/>
    <w:rsid w:val="00A555CE"/>
    <w:rsid w:val="00A55650"/>
    <w:rsid w:val="00A5666E"/>
    <w:rsid w:val="00A5680C"/>
    <w:rsid w:val="00A5737D"/>
    <w:rsid w:val="00A57494"/>
    <w:rsid w:val="00A579E7"/>
    <w:rsid w:val="00A57D3E"/>
    <w:rsid w:val="00A60E5A"/>
    <w:rsid w:val="00A61358"/>
    <w:rsid w:val="00A62D2C"/>
    <w:rsid w:val="00A63138"/>
    <w:rsid w:val="00A63591"/>
    <w:rsid w:val="00A63E7B"/>
    <w:rsid w:val="00A63F6F"/>
    <w:rsid w:val="00A64AD4"/>
    <w:rsid w:val="00A65033"/>
    <w:rsid w:val="00A658EB"/>
    <w:rsid w:val="00A65A43"/>
    <w:rsid w:val="00A65EAB"/>
    <w:rsid w:val="00A65F58"/>
    <w:rsid w:val="00A66045"/>
    <w:rsid w:val="00A66C6E"/>
    <w:rsid w:val="00A66EFB"/>
    <w:rsid w:val="00A67FD6"/>
    <w:rsid w:val="00A703DD"/>
    <w:rsid w:val="00A708A7"/>
    <w:rsid w:val="00A70DAD"/>
    <w:rsid w:val="00A71745"/>
    <w:rsid w:val="00A72673"/>
    <w:rsid w:val="00A72C5D"/>
    <w:rsid w:val="00A745EC"/>
    <w:rsid w:val="00A7510E"/>
    <w:rsid w:val="00A76262"/>
    <w:rsid w:val="00A76F04"/>
    <w:rsid w:val="00A77472"/>
    <w:rsid w:val="00A804E3"/>
    <w:rsid w:val="00A807EA"/>
    <w:rsid w:val="00A81975"/>
    <w:rsid w:val="00A8496F"/>
    <w:rsid w:val="00A85385"/>
    <w:rsid w:val="00A854BA"/>
    <w:rsid w:val="00A858B4"/>
    <w:rsid w:val="00A872BD"/>
    <w:rsid w:val="00A90341"/>
    <w:rsid w:val="00A90790"/>
    <w:rsid w:val="00A9148C"/>
    <w:rsid w:val="00A919F2"/>
    <w:rsid w:val="00A92134"/>
    <w:rsid w:val="00A9274A"/>
    <w:rsid w:val="00A92CE4"/>
    <w:rsid w:val="00A92EB1"/>
    <w:rsid w:val="00A9362B"/>
    <w:rsid w:val="00A93686"/>
    <w:rsid w:val="00A94FD6"/>
    <w:rsid w:val="00A951F3"/>
    <w:rsid w:val="00A95276"/>
    <w:rsid w:val="00A95F70"/>
    <w:rsid w:val="00A96670"/>
    <w:rsid w:val="00A96A9D"/>
    <w:rsid w:val="00A96EB4"/>
    <w:rsid w:val="00AA0C58"/>
    <w:rsid w:val="00AA0ECD"/>
    <w:rsid w:val="00AA0F48"/>
    <w:rsid w:val="00AA1A6D"/>
    <w:rsid w:val="00AA1EEF"/>
    <w:rsid w:val="00AA2682"/>
    <w:rsid w:val="00AA2750"/>
    <w:rsid w:val="00AA344A"/>
    <w:rsid w:val="00AA3940"/>
    <w:rsid w:val="00AA455A"/>
    <w:rsid w:val="00AA57E3"/>
    <w:rsid w:val="00AB1045"/>
    <w:rsid w:val="00AB1358"/>
    <w:rsid w:val="00AB1671"/>
    <w:rsid w:val="00AB1D01"/>
    <w:rsid w:val="00AB2030"/>
    <w:rsid w:val="00AB2171"/>
    <w:rsid w:val="00AB2CBA"/>
    <w:rsid w:val="00AB2DCE"/>
    <w:rsid w:val="00AB3259"/>
    <w:rsid w:val="00AB3756"/>
    <w:rsid w:val="00AB468A"/>
    <w:rsid w:val="00AB597D"/>
    <w:rsid w:val="00AB622D"/>
    <w:rsid w:val="00AB6485"/>
    <w:rsid w:val="00AB65FE"/>
    <w:rsid w:val="00AC0225"/>
    <w:rsid w:val="00AC09D6"/>
    <w:rsid w:val="00AC0F77"/>
    <w:rsid w:val="00AC1E0F"/>
    <w:rsid w:val="00AC1E7C"/>
    <w:rsid w:val="00AC22BA"/>
    <w:rsid w:val="00AC24F9"/>
    <w:rsid w:val="00AC2516"/>
    <w:rsid w:val="00AC27EB"/>
    <w:rsid w:val="00AC2B42"/>
    <w:rsid w:val="00AC34CA"/>
    <w:rsid w:val="00AC36E0"/>
    <w:rsid w:val="00AC3FC6"/>
    <w:rsid w:val="00AC4F0C"/>
    <w:rsid w:val="00AC55B9"/>
    <w:rsid w:val="00AC582C"/>
    <w:rsid w:val="00AC5937"/>
    <w:rsid w:val="00AC65D7"/>
    <w:rsid w:val="00AC6CCB"/>
    <w:rsid w:val="00AC6D8D"/>
    <w:rsid w:val="00AC6F7E"/>
    <w:rsid w:val="00AC7668"/>
    <w:rsid w:val="00AC77C4"/>
    <w:rsid w:val="00AC77E0"/>
    <w:rsid w:val="00AC7B06"/>
    <w:rsid w:val="00AC7E7B"/>
    <w:rsid w:val="00AC7F87"/>
    <w:rsid w:val="00AD0306"/>
    <w:rsid w:val="00AD135C"/>
    <w:rsid w:val="00AD1DC0"/>
    <w:rsid w:val="00AD21EC"/>
    <w:rsid w:val="00AD388C"/>
    <w:rsid w:val="00AD3D5E"/>
    <w:rsid w:val="00AD5151"/>
    <w:rsid w:val="00AD544D"/>
    <w:rsid w:val="00AD590A"/>
    <w:rsid w:val="00AD5DFA"/>
    <w:rsid w:val="00AD61E4"/>
    <w:rsid w:val="00AD6E5D"/>
    <w:rsid w:val="00AD6EA6"/>
    <w:rsid w:val="00AE0702"/>
    <w:rsid w:val="00AE13B9"/>
    <w:rsid w:val="00AE17FA"/>
    <w:rsid w:val="00AE1CF4"/>
    <w:rsid w:val="00AE1E6D"/>
    <w:rsid w:val="00AE20AE"/>
    <w:rsid w:val="00AE281A"/>
    <w:rsid w:val="00AE3182"/>
    <w:rsid w:val="00AE466B"/>
    <w:rsid w:val="00AE47C5"/>
    <w:rsid w:val="00AE638D"/>
    <w:rsid w:val="00AE6C84"/>
    <w:rsid w:val="00AE6F0C"/>
    <w:rsid w:val="00AE733B"/>
    <w:rsid w:val="00AE76C1"/>
    <w:rsid w:val="00AE76E1"/>
    <w:rsid w:val="00AE7ACC"/>
    <w:rsid w:val="00AF0084"/>
    <w:rsid w:val="00AF0894"/>
    <w:rsid w:val="00AF0A9A"/>
    <w:rsid w:val="00AF0F08"/>
    <w:rsid w:val="00AF1CBA"/>
    <w:rsid w:val="00AF1E07"/>
    <w:rsid w:val="00AF1FEB"/>
    <w:rsid w:val="00AF397E"/>
    <w:rsid w:val="00AF4A02"/>
    <w:rsid w:val="00AF4C98"/>
    <w:rsid w:val="00AF5102"/>
    <w:rsid w:val="00AF5813"/>
    <w:rsid w:val="00AF585E"/>
    <w:rsid w:val="00AF5DEE"/>
    <w:rsid w:val="00AF66A6"/>
    <w:rsid w:val="00AF7280"/>
    <w:rsid w:val="00AF7A2A"/>
    <w:rsid w:val="00AF7A8B"/>
    <w:rsid w:val="00AF7B46"/>
    <w:rsid w:val="00AF7E72"/>
    <w:rsid w:val="00B00630"/>
    <w:rsid w:val="00B006B5"/>
    <w:rsid w:val="00B01CB0"/>
    <w:rsid w:val="00B01F8C"/>
    <w:rsid w:val="00B021F0"/>
    <w:rsid w:val="00B0307E"/>
    <w:rsid w:val="00B03E18"/>
    <w:rsid w:val="00B0472B"/>
    <w:rsid w:val="00B04D23"/>
    <w:rsid w:val="00B04ECD"/>
    <w:rsid w:val="00B05927"/>
    <w:rsid w:val="00B05BD3"/>
    <w:rsid w:val="00B0610A"/>
    <w:rsid w:val="00B06E43"/>
    <w:rsid w:val="00B06FD3"/>
    <w:rsid w:val="00B072E8"/>
    <w:rsid w:val="00B0734F"/>
    <w:rsid w:val="00B07FC0"/>
    <w:rsid w:val="00B10628"/>
    <w:rsid w:val="00B11248"/>
    <w:rsid w:val="00B114C9"/>
    <w:rsid w:val="00B11821"/>
    <w:rsid w:val="00B11BB4"/>
    <w:rsid w:val="00B11DDA"/>
    <w:rsid w:val="00B11FEA"/>
    <w:rsid w:val="00B12CC1"/>
    <w:rsid w:val="00B1368F"/>
    <w:rsid w:val="00B1427C"/>
    <w:rsid w:val="00B14BE8"/>
    <w:rsid w:val="00B15B79"/>
    <w:rsid w:val="00B16C7E"/>
    <w:rsid w:val="00B211E2"/>
    <w:rsid w:val="00B21487"/>
    <w:rsid w:val="00B2187F"/>
    <w:rsid w:val="00B21DE2"/>
    <w:rsid w:val="00B22057"/>
    <w:rsid w:val="00B24C8A"/>
    <w:rsid w:val="00B24DCA"/>
    <w:rsid w:val="00B2510C"/>
    <w:rsid w:val="00B2579D"/>
    <w:rsid w:val="00B258AC"/>
    <w:rsid w:val="00B25A04"/>
    <w:rsid w:val="00B2603B"/>
    <w:rsid w:val="00B26B08"/>
    <w:rsid w:val="00B27358"/>
    <w:rsid w:val="00B30116"/>
    <w:rsid w:val="00B3189D"/>
    <w:rsid w:val="00B32414"/>
    <w:rsid w:val="00B32A7C"/>
    <w:rsid w:val="00B33056"/>
    <w:rsid w:val="00B33923"/>
    <w:rsid w:val="00B33D41"/>
    <w:rsid w:val="00B34258"/>
    <w:rsid w:val="00B34AE6"/>
    <w:rsid w:val="00B350F0"/>
    <w:rsid w:val="00B365F0"/>
    <w:rsid w:val="00B36918"/>
    <w:rsid w:val="00B37406"/>
    <w:rsid w:val="00B374B0"/>
    <w:rsid w:val="00B37BFC"/>
    <w:rsid w:val="00B40084"/>
    <w:rsid w:val="00B405E4"/>
    <w:rsid w:val="00B40B21"/>
    <w:rsid w:val="00B412D0"/>
    <w:rsid w:val="00B41778"/>
    <w:rsid w:val="00B4179E"/>
    <w:rsid w:val="00B427A4"/>
    <w:rsid w:val="00B42861"/>
    <w:rsid w:val="00B42951"/>
    <w:rsid w:val="00B434FB"/>
    <w:rsid w:val="00B44DE6"/>
    <w:rsid w:val="00B466F4"/>
    <w:rsid w:val="00B47FD3"/>
    <w:rsid w:val="00B50869"/>
    <w:rsid w:val="00B513DC"/>
    <w:rsid w:val="00B5150A"/>
    <w:rsid w:val="00B51A54"/>
    <w:rsid w:val="00B51B1D"/>
    <w:rsid w:val="00B51EB2"/>
    <w:rsid w:val="00B5200D"/>
    <w:rsid w:val="00B525BD"/>
    <w:rsid w:val="00B5261F"/>
    <w:rsid w:val="00B533C6"/>
    <w:rsid w:val="00B54693"/>
    <w:rsid w:val="00B551F2"/>
    <w:rsid w:val="00B5710B"/>
    <w:rsid w:val="00B5728C"/>
    <w:rsid w:val="00B602B5"/>
    <w:rsid w:val="00B619F6"/>
    <w:rsid w:val="00B62B6F"/>
    <w:rsid w:val="00B6332F"/>
    <w:rsid w:val="00B63B2D"/>
    <w:rsid w:val="00B63EBE"/>
    <w:rsid w:val="00B64168"/>
    <w:rsid w:val="00B641B8"/>
    <w:rsid w:val="00B64749"/>
    <w:rsid w:val="00B65978"/>
    <w:rsid w:val="00B66AC3"/>
    <w:rsid w:val="00B66BE0"/>
    <w:rsid w:val="00B67338"/>
    <w:rsid w:val="00B67DD9"/>
    <w:rsid w:val="00B71025"/>
    <w:rsid w:val="00B714CB"/>
    <w:rsid w:val="00B72DBC"/>
    <w:rsid w:val="00B7306A"/>
    <w:rsid w:val="00B73673"/>
    <w:rsid w:val="00B740B4"/>
    <w:rsid w:val="00B74278"/>
    <w:rsid w:val="00B74523"/>
    <w:rsid w:val="00B74E6D"/>
    <w:rsid w:val="00B74F1E"/>
    <w:rsid w:val="00B74FA3"/>
    <w:rsid w:val="00B7713D"/>
    <w:rsid w:val="00B7751A"/>
    <w:rsid w:val="00B7777C"/>
    <w:rsid w:val="00B777FA"/>
    <w:rsid w:val="00B81481"/>
    <w:rsid w:val="00B82FF6"/>
    <w:rsid w:val="00B83211"/>
    <w:rsid w:val="00B8376B"/>
    <w:rsid w:val="00B83AB3"/>
    <w:rsid w:val="00B847D5"/>
    <w:rsid w:val="00B84A80"/>
    <w:rsid w:val="00B84AEF"/>
    <w:rsid w:val="00B84E00"/>
    <w:rsid w:val="00B85FE6"/>
    <w:rsid w:val="00B8615D"/>
    <w:rsid w:val="00B8654C"/>
    <w:rsid w:val="00B86A8D"/>
    <w:rsid w:val="00B87B80"/>
    <w:rsid w:val="00B904B5"/>
    <w:rsid w:val="00B9120B"/>
    <w:rsid w:val="00B915F2"/>
    <w:rsid w:val="00B91A4E"/>
    <w:rsid w:val="00B91F06"/>
    <w:rsid w:val="00B929C2"/>
    <w:rsid w:val="00B94E19"/>
    <w:rsid w:val="00B95CED"/>
    <w:rsid w:val="00B9679F"/>
    <w:rsid w:val="00B96E5E"/>
    <w:rsid w:val="00B972D6"/>
    <w:rsid w:val="00B97A6B"/>
    <w:rsid w:val="00B97CB4"/>
    <w:rsid w:val="00BA0622"/>
    <w:rsid w:val="00BA06A5"/>
    <w:rsid w:val="00BA0863"/>
    <w:rsid w:val="00BA0D0E"/>
    <w:rsid w:val="00BA119D"/>
    <w:rsid w:val="00BA15E1"/>
    <w:rsid w:val="00BA1AC3"/>
    <w:rsid w:val="00BA27BE"/>
    <w:rsid w:val="00BA3624"/>
    <w:rsid w:val="00BA3CCB"/>
    <w:rsid w:val="00BA417D"/>
    <w:rsid w:val="00BA44BD"/>
    <w:rsid w:val="00BA4547"/>
    <w:rsid w:val="00BA479C"/>
    <w:rsid w:val="00BA4D05"/>
    <w:rsid w:val="00BA5009"/>
    <w:rsid w:val="00BA55B4"/>
    <w:rsid w:val="00BA69C6"/>
    <w:rsid w:val="00BA78BB"/>
    <w:rsid w:val="00BA7EEB"/>
    <w:rsid w:val="00BA7F6D"/>
    <w:rsid w:val="00BB01EF"/>
    <w:rsid w:val="00BB0BC4"/>
    <w:rsid w:val="00BB135C"/>
    <w:rsid w:val="00BB17AE"/>
    <w:rsid w:val="00BB1DA3"/>
    <w:rsid w:val="00BB2538"/>
    <w:rsid w:val="00BB2FA1"/>
    <w:rsid w:val="00BB4D6D"/>
    <w:rsid w:val="00BB538F"/>
    <w:rsid w:val="00BB55F9"/>
    <w:rsid w:val="00BB5EAE"/>
    <w:rsid w:val="00BB60A5"/>
    <w:rsid w:val="00BB6BDC"/>
    <w:rsid w:val="00BB6C8C"/>
    <w:rsid w:val="00BB6E32"/>
    <w:rsid w:val="00BB6FBB"/>
    <w:rsid w:val="00BC1985"/>
    <w:rsid w:val="00BC1E86"/>
    <w:rsid w:val="00BC23CD"/>
    <w:rsid w:val="00BC33AB"/>
    <w:rsid w:val="00BC3ED9"/>
    <w:rsid w:val="00BC4CAD"/>
    <w:rsid w:val="00BC4E62"/>
    <w:rsid w:val="00BC5891"/>
    <w:rsid w:val="00BC5F77"/>
    <w:rsid w:val="00BC617D"/>
    <w:rsid w:val="00BC69ED"/>
    <w:rsid w:val="00BC7990"/>
    <w:rsid w:val="00BD0945"/>
    <w:rsid w:val="00BD1D83"/>
    <w:rsid w:val="00BD2486"/>
    <w:rsid w:val="00BD2738"/>
    <w:rsid w:val="00BD2CC5"/>
    <w:rsid w:val="00BD3667"/>
    <w:rsid w:val="00BD37DB"/>
    <w:rsid w:val="00BD4124"/>
    <w:rsid w:val="00BD4C55"/>
    <w:rsid w:val="00BD525A"/>
    <w:rsid w:val="00BD52B8"/>
    <w:rsid w:val="00BD6979"/>
    <w:rsid w:val="00BD73A3"/>
    <w:rsid w:val="00BD75C0"/>
    <w:rsid w:val="00BD7A29"/>
    <w:rsid w:val="00BE028A"/>
    <w:rsid w:val="00BE02B4"/>
    <w:rsid w:val="00BE079A"/>
    <w:rsid w:val="00BE0F3E"/>
    <w:rsid w:val="00BE155D"/>
    <w:rsid w:val="00BE1B9F"/>
    <w:rsid w:val="00BE1E2E"/>
    <w:rsid w:val="00BE2D89"/>
    <w:rsid w:val="00BE342A"/>
    <w:rsid w:val="00BE38B7"/>
    <w:rsid w:val="00BE3A34"/>
    <w:rsid w:val="00BE4B89"/>
    <w:rsid w:val="00BE5099"/>
    <w:rsid w:val="00BE5130"/>
    <w:rsid w:val="00BE60AB"/>
    <w:rsid w:val="00BE694E"/>
    <w:rsid w:val="00BE6BDC"/>
    <w:rsid w:val="00BE6EED"/>
    <w:rsid w:val="00BE6F09"/>
    <w:rsid w:val="00BE78C0"/>
    <w:rsid w:val="00BE7935"/>
    <w:rsid w:val="00BE79D9"/>
    <w:rsid w:val="00BF022D"/>
    <w:rsid w:val="00BF04B9"/>
    <w:rsid w:val="00BF09F5"/>
    <w:rsid w:val="00BF0DA1"/>
    <w:rsid w:val="00BF0FB8"/>
    <w:rsid w:val="00BF1321"/>
    <w:rsid w:val="00BF24F6"/>
    <w:rsid w:val="00BF298E"/>
    <w:rsid w:val="00BF3212"/>
    <w:rsid w:val="00BF328B"/>
    <w:rsid w:val="00BF3773"/>
    <w:rsid w:val="00BF5333"/>
    <w:rsid w:val="00BF619E"/>
    <w:rsid w:val="00BF7105"/>
    <w:rsid w:val="00BF7546"/>
    <w:rsid w:val="00BF7A5B"/>
    <w:rsid w:val="00C005C5"/>
    <w:rsid w:val="00C00E98"/>
    <w:rsid w:val="00C017B3"/>
    <w:rsid w:val="00C01EAA"/>
    <w:rsid w:val="00C02108"/>
    <w:rsid w:val="00C027B4"/>
    <w:rsid w:val="00C03BE2"/>
    <w:rsid w:val="00C04082"/>
    <w:rsid w:val="00C04E14"/>
    <w:rsid w:val="00C04F90"/>
    <w:rsid w:val="00C053AF"/>
    <w:rsid w:val="00C05C1A"/>
    <w:rsid w:val="00C05E19"/>
    <w:rsid w:val="00C061B8"/>
    <w:rsid w:val="00C064D4"/>
    <w:rsid w:val="00C075B7"/>
    <w:rsid w:val="00C07A2E"/>
    <w:rsid w:val="00C07E7C"/>
    <w:rsid w:val="00C07F88"/>
    <w:rsid w:val="00C10832"/>
    <w:rsid w:val="00C11804"/>
    <w:rsid w:val="00C119A1"/>
    <w:rsid w:val="00C120D4"/>
    <w:rsid w:val="00C123AE"/>
    <w:rsid w:val="00C12AD0"/>
    <w:rsid w:val="00C12DF9"/>
    <w:rsid w:val="00C12F17"/>
    <w:rsid w:val="00C130B1"/>
    <w:rsid w:val="00C143B7"/>
    <w:rsid w:val="00C14922"/>
    <w:rsid w:val="00C14EBB"/>
    <w:rsid w:val="00C14F73"/>
    <w:rsid w:val="00C14FEF"/>
    <w:rsid w:val="00C152D5"/>
    <w:rsid w:val="00C15965"/>
    <w:rsid w:val="00C16D40"/>
    <w:rsid w:val="00C17AC4"/>
    <w:rsid w:val="00C240D4"/>
    <w:rsid w:val="00C24A04"/>
    <w:rsid w:val="00C24CEC"/>
    <w:rsid w:val="00C24ECF"/>
    <w:rsid w:val="00C24F90"/>
    <w:rsid w:val="00C24FBE"/>
    <w:rsid w:val="00C2521B"/>
    <w:rsid w:val="00C25F7D"/>
    <w:rsid w:val="00C26B6B"/>
    <w:rsid w:val="00C26F1D"/>
    <w:rsid w:val="00C272EC"/>
    <w:rsid w:val="00C276FF"/>
    <w:rsid w:val="00C277E2"/>
    <w:rsid w:val="00C27D43"/>
    <w:rsid w:val="00C30D37"/>
    <w:rsid w:val="00C31280"/>
    <w:rsid w:val="00C31826"/>
    <w:rsid w:val="00C31F38"/>
    <w:rsid w:val="00C32232"/>
    <w:rsid w:val="00C32A18"/>
    <w:rsid w:val="00C33FEF"/>
    <w:rsid w:val="00C34C86"/>
    <w:rsid w:val="00C34D7C"/>
    <w:rsid w:val="00C35948"/>
    <w:rsid w:val="00C36275"/>
    <w:rsid w:val="00C366EF"/>
    <w:rsid w:val="00C36AD0"/>
    <w:rsid w:val="00C37369"/>
    <w:rsid w:val="00C37695"/>
    <w:rsid w:val="00C376E6"/>
    <w:rsid w:val="00C407E1"/>
    <w:rsid w:val="00C40A94"/>
    <w:rsid w:val="00C40DED"/>
    <w:rsid w:val="00C40FC1"/>
    <w:rsid w:val="00C4125A"/>
    <w:rsid w:val="00C419BE"/>
    <w:rsid w:val="00C42944"/>
    <w:rsid w:val="00C4344B"/>
    <w:rsid w:val="00C43C73"/>
    <w:rsid w:val="00C4446A"/>
    <w:rsid w:val="00C4589F"/>
    <w:rsid w:val="00C4697A"/>
    <w:rsid w:val="00C47009"/>
    <w:rsid w:val="00C47D05"/>
    <w:rsid w:val="00C50915"/>
    <w:rsid w:val="00C50ED5"/>
    <w:rsid w:val="00C52262"/>
    <w:rsid w:val="00C527BB"/>
    <w:rsid w:val="00C5327E"/>
    <w:rsid w:val="00C53784"/>
    <w:rsid w:val="00C53832"/>
    <w:rsid w:val="00C53862"/>
    <w:rsid w:val="00C5395F"/>
    <w:rsid w:val="00C53DBA"/>
    <w:rsid w:val="00C54122"/>
    <w:rsid w:val="00C543DF"/>
    <w:rsid w:val="00C5549D"/>
    <w:rsid w:val="00C557BB"/>
    <w:rsid w:val="00C566BA"/>
    <w:rsid w:val="00C566DA"/>
    <w:rsid w:val="00C56DAA"/>
    <w:rsid w:val="00C57BFB"/>
    <w:rsid w:val="00C61019"/>
    <w:rsid w:val="00C615FD"/>
    <w:rsid w:val="00C61E82"/>
    <w:rsid w:val="00C61F05"/>
    <w:rsid w:val="00C62628"/>
    <w:rsid w:val="00C62701"/>
    <w:rsid w:val="00C634D1"/>
    <w:rsid w:val="00C63BFA"/>
    <w:rsid w:val="00C64FD6"/>
    <w:rsid w:val="00C654A3"/>
    <w:rsid w:val="00C65AB7"/>
    <w:rsid w:val="00C66DCD"/>
    <w:rsid w:val="00C66F62"/>
    <w:rsid w:val="00C66FF7"/>
    <w:rsid w:val="00C67204"/>
    <w:rsid w:val="00C6795C"/>
    <w:rsid w:val="00C71059"/>
    <w:rsid w:val="00C7105C"/>
    <w:rsid w:val="00C72255"/>
    <w:rsid w:val="00C73022"/>
    <w:rsid w:val="00C731D8"/>
    <w:rsid w:val="00C734DC"/>
    <w:rsid w:val="00C73E5B"/>
    <w:rsid w:val="00C74517"/>
    <w:rsid w:val="00C74883"/>
    <w:rsid w:val="00C74C84"/>
    <w:rsid w:val="00C75390"/>
    <w:rsid w:val="00C75B39"/>
    <w:rsid w:val="00C7725E"/>
    <w:rsid w:val="00C806F2"/>
    <w:rsid w:val="00C80CAE"/>
    <w:rsid w:val="00C81776"/>
    <w:rsid w:val="00C82B5A"/>
    <w:rsid w:val="00C83D38"/>
    <w:rsid w:val="00C8456E"/>
    <w:rsid w:val="00C85A46"/>
    <w:rsid w:val="00C871BE"/>
    <w:rsid w:val="00C874E2"/>
    <w:rsid w:val="00C87846"/>
    <w:rsid w:val="00C879FD"/>
    <w:rsid w:val="00C87F72"/>
    <w:rsid w:val="00C901F1"/>
    <w:rsid w:val="00C90B87"/>
    <w:rsid w:val="00C91A39"/>
    <w:rsid w:val="00C920AE"/>
    <w:rsid w:val="00C92812"/>
    <w:rsid w:val="00C92CED"/>
    <w:rsid w:val="00C92ED2"/>
    <w:rsid w:val="00C92F97"/>
    <w:rsid w:val="00C937C9"/>
    <w:rsid w:val="00C93ECD"/>
    <w:rsid w:val="00C94019"/>
    <w:rsid w:val="00C9416C"/>
    <w:rsid w:val="00C95420"/>
    <w:rsid w:val="00C96AF3"/>
    <w:rsid w:val="00C96B64"/>
    <w:rsid w:val="00CA0F28"/>
    <w:rsid w:val="00CA2AFB"/>
    <w:rsid w:val="00CA3A80"/>
    <w:rsid w:val="00CA40B3"/>
    <w:rsid w:val="00CA4458"/>
    <w:rsid w:val="00CA4BA5"/>
    <w:rsid w:val="00CA4D1D"/>
    <w:rsid w:val="00CA5799"/>
    <w:rsid w:val="00CA7908"/>
    <w:rsid w:val="00CB1110"/>
    <w:rsid w:val="00CB14EE"/>
    <w:rsid w:val="00CB34F6"/>
    <w:rsid w:val="00CB390C"/>
    <w:rsid w:val="00CB3940"/>
    <w:rsid w:val="00CB3F5D"/>
    <w:rsid w:val="00CB497F"/>
    <w:rsid w:val="00CB5603"/>
    <w:rsid w:val="00CB6052"/>
    <w:rsid w:val="00CB6387"/>
    <w:rsid w:val="00CB72B4"/>
    <w:rsid w:val="00CB7EF3"/>
    <w:rsid w:val="00CC0808"/>
    <w:rsid w:val="00CC17C8"/>
    <w:rsid w:val="00CC2709"/>
    <w:rsid w:val="00CC28D4"/>
    <w:rsid w:val="00CC3295"/>
    <w:rsid w:val="00CC33D9"/>
    <w:rsid w:val="00CC39C4"/>
    <w:rsid w:val="00CC3C45"/>
    <w:rsid w:val="00CC44A1"/>
    <w:rsid w:val="00CC44C0"/>
    <w:rsid w:val="00CC4D82"/>
    <w:rsid w:val="00CC5A76"/>
    <w:rsid w:val="00CC7A48"/>
    <w:rsid w:val="00CD04D6"/>
    <w:rsid w:val="00CD0DB5"/>
    <w:rsid w:val="00CD1474"/>
    <w:rsid w:val="00CD1930"/>
    <w:rsid w:val="00CD1B6A"/>
    <w:rsid w:val="00CD27B8"/>
    <w:rsid w:val="00CD283B"/>
    <w:rsid w:val="00CD329D"/>
    <w:rsid w:val="00CD410C"/>
    <w:rsid w:val="00CD4F8B"/>
    <w:rsid w:val="00CD510B"/>
    <w:rsid w:val="00CD56A0"/>
    <w:rsid w:val="00CD5840"/>
    <w:rsid w:val="00CD5D1D"/>
    <w:rsid w:val="00CD648B"/>
    <w:rsid w:val="00CD6632"/>
    <w:rsid w:val="00CD730D"/>
    <w:rsid w:val="00CD7658"/>
    <w:rsid w:val="00CD7AC1"/>
    <w:rsid w:val="00CD7FA9"/>
    <w:rsid w:val="00CE0975"/>
    <w:rsid w:val="00CE0DF2"/>
    <w:rsid w:val="00CE2281"/>
    <w:rsid w:val="00CE25A0"/>
    <w:rsid w:val="00CE2934"/>
    <w:rsid w:val="00CE5171"/>
    <w:rsid w:val="00CE5904"/>
    <w:rsid w:val="00CE592C"/>
    <w:rsid w:val="00CE6C2E"/>
    <w:rsid w:val="00CE7170"/>
    <w:rsid w:val="00CE74E7"/>
    <w:rsid w:val="00CE7E28"/>
    <w:rsid w:val="00CF030A"/>
    <w:rsid w:val="00CF051E"/>
    <w:rsid w:val="00CF07A4"/>
    <w:rsid w:val="00CF08DA"/>
    <w:rsid w:val="00CF0992"/>
    <w:rsid w:val="00CF1196"/>
    <w:rsid w:val="00CF11E8"/>
    <w:rsid w:val="00CF208A"/>
    <w:rsid w:val="00CF218E"/>
    <w:rsid w:val="00CF2393"/>
    <w:rsid w:val="00CF3216"/>
    <w:rsid w:val="00CF3538"/>
    <w:rsid w:val="00CF35B2"/>
    <w:rsid w:val="00CF367D"/>
    <w:rsid w:val="00CF368B"/>
    <w:rsid w:val="00CF3E45"/>
    <w:rsid w:val="00CF4468"/>
    <w:rsid w:val="00CF4488"/>
    <w:rsid w:val="00CF5978"/>
    <w:rsid w:val="00CF5AAC"/>
    <w:rsid w:val="00CF6A02"/>
    <w:rsid w:val="00CF6A49"/>
    <w:rsid w:val="00CF7547"/>
    <w:rsid w:val="00CF7C2B"/>
    <w:rsid w:val="00CF7D33"/>
    <w:rsid w:val="00D00071"/>
    <w:rsid w:val="00D00A12"/>
    <w:rsid w:val="00D00C6D"/>
    <w:rsid w:val="00D00E09"/>
    <w:rsid w:val="00D00E86"/>
    <w:rsid w:val="00D01289"/>
    <w:rsid w:val="00D01D13"/>
    <w:rsid w:val="00D01FBD"/>
    <w:rsid w:val="00D0251D"/>
    <w:rsid w:val="00D02954"/>
    <w:rsid w:val="00D02CA0"/>
    <w:rsid w:val="00D034A3"/>
    <w:rsid w:val="00D0375B"/>
    <w:rsid w:val="00D038FD"/>
    <w:rsid w:val="00D04082"/>
    <w:rsid w:val="00D051B8"/>
    <w:rsid w:val="00D0627C"/>
    <w:rsid w:val="00D06507"/>
    <w:rsid w:val="00D07572"/>
    <w:rsid w:val="00D07D9B"/>
    <w:rsid w:val="00D07E0D"/>
    <w:rsid w:val="00D104DF"/>
    <w:rsid w:val="00D10C92"/>
    <w:rsid w:val="00D12215"/>
    <w:rsid w:val="00D133BC"/>
    <w:rsid w:val="00D13672"/>
    <w:rsid w:val="00D13DAB"/>
    <w:rsid w:val="00D150DB"/>
    <w:rsid w:val="00D1514C"/>
    <w:rsid w:val="00D15E12"/>
    <w:rsid w:val="00D17F81"/>
    <w:rsid w:val="00D206E0"/>
    <w:rsid w:val="00D20A51"/>
    <w:rsid w:val="00D21360"/>
    <w:rsid w:val="00D214F2"/>
    <w:rsid w:val="00D21A79"/>
    <w:rsid w:val="00D21E48"/>
    <w:rsid w:val="00D22848"/>
    <w:rsid w:val="00D22D26"/>
    <w:rsid w:val="00D23309"/>
    <w:rsid w:val="00D25DE0"/>
    <w:rsid w:val="00D262E4"/>
    <w:rsid w:val="00D265CC"/>
    <w:rsid w:val="00D26E8E"/>
    <w:rsid w:val="00D27065"/>
    <w:rsid w:val="00D30492"/>
    <w:rsid w:val="00D31380"/>
    <w:rsid w:val="00D31568"/>
    <w:rsid w:val="00D3257A"/>
    <w:rsid w:val="00D3318D"/>
    <w:rsid w:val="00D3354C"/>
    <w:rsid w:val="00D34874"/>
    <w:rsid w:val="00D3505C"/>
    <w:rsid w:val="00D3558A"/>
    <w:rsid w:val="00D35937"/>
    <w:rsid w:val="00D35E28"/>
    <w:rsid w:val="00D365F1"/>
    <w:rsid w:val="00D36762"/>
    <w:rsid w:val="00D3769C"/>
    <w:rsid w:val="00D403A5"/>
    <w:rsid w:val="00D408E7"/>
    <w:rsid w:val="00D40B39"/>
    <w:rsid w:val="00D41160"/>
    <w:rsid w:val="00D411B5"/>
    <w:rsid w:val="00D41FD9"/>
    <w:rsid w:val="00D42AA2"/>
    <w:rsid w:val="00D42CC4"/>
    <w:rsid w:val="00D44022"/>
    <w:rsid w:val="00D44B8E"/>
    <w:rsid w:val="00D44EB7"/>
    <w:rsid w:val="00D45869"/>
    <w:rsid w:val="00D45B74"/>
    <w:rsid w:val="00D46611"/>
    <w:rsid w:val="00D4688F"/>
    <w:rsid w:val="00D47086"/>
    <w:rsid w:val="00D47703"/>
    <w:rsid w:val="00D47734"/>
    <w:rsid w:val="00D477A7"/>
    <w:rsid w:val="00D47888"/>
    <w:rsid w:val="00D5016F"/>
    <w:rsid w:val="00D5068D"/>
    <w:rsid w:val="00D50C96"/>
    <w:rsid w:val="00D515DE"/>
    <w:rsid w:val="00D51672"/>
    <w:rsid w:val="00D52322"/>
    <w:rsid w:val="00D534A0"/>
    <w:rsid w:val="00D53DBA"/>
    <w:rsid w:val="00D55176"/>
    <w:rsid w:val="00D5539A"/>
    <w:rsid w:val="00D56920"/>
    <w:rsid w:val="00D571B7"/>
    <w:rsid w:val="00D60EF1"/>
    <w:rsid w:val="00D60F5F"/>
    <w:rsid w:val="00D623E2"/>
    <w:rsid w:val="00D62495"/>
    <w:rsid w:val="00D62501"/>
    <w:rsid w:val="00D6323A"/>
    <w:rsid w:val="00D63F75"/>
    <w:rsid w:val="00D64052"/>
    <w:rsid w:val="00D64ACD"/>
    <w:rsid w:val="00D65E28"/>
    <w:rsid w:val="00D66A82"/>
    <w:rsid w:val="00D66C65"/>
    <w:rsid w:val="00D66E42"/>
    <w:rsid w:val="00D67859"/>
    <w:rsid w:val="00D67CFD"/>
    <w:rsid w:val="00D67D80"/>
    <w:rsid w:val="00D70048"/>
    <w:rsid w:val="00D705F6"/>
    <w:rsid w:val="00D70E33"/>
    <w:rsid w:val="00D71BF5"/>
    <w:rsid w:val="00D7221D"/>
    <w:rsid w:val="00D729FB"/>
    <w:rsid w:val="00D72E67"/>
    <w:rsid w:val="00D737C7"/>
    <w:rsid w:val="00D7478C"/>
    <w:rsid w:val="00D7489B"/>
    <w:rsid w:val="00D74FE4"/>
    <w:rsid w:val="00D7538A"/>
    <w:rsid w:val="00D757DB"/>
    <w:rsid w:val="00D771A9"/>
    <w:rsid w:val="00D77562"/>
    <w:rsid w:val="00D77A57"/>
    <w:rsid w:val="00D80623"/>
    <w:rsid w:val="00D80EBE"/>
    <w:rsid w:val="00D81A8B"/>
    <w:rsid w:val="00D81E5F"/>
    <w:rsid w:val="00D824CB"/>
    <w:rsid w:val="00D8255F"/>
    <w:rsid w:val="00D84792"/>
    <w:rsid w:val="00D847D9"/>
    <w:rsid w:val="00D850A0"/>
    <w:rsid w:val="00D8559D"/>
    <w:rsid w:val="00D8630D"/>
    <w:rsid w:val="00D8694F"/>
    <w:rsid w:val="00D879DB"/>
    <w:rsid w:val="00D87BF9"/>
    <w:rsid w:val="00D900AC"/>
    <w:rsid w:val="00D90C2D"/>
    <w:rsid w:val="00D90ECF"/>
    <w:rsid w:val="00D93444"/>
    <w:rsid w:val="00D93A5E"/>
    <w:rsid w:val="00D93E62"/>
    <w:rsid w:val="00D94E72"/>
    <w:rsid w:val="00D95692"/>
    <w:rsid w:val="00D95A4C"/>
    <w:rsid w:val="00D962F2"/>
    <w:rsid w:val="00D96712"/>
    <w:rsid w:val="00D968E3"/>
    <w:rsid w:val="00D96AEA"/>
    <w:rsid w:val="00D96D91"/>
    <w:rsid w:val="00DA100E"/>
    <w:rsid w:val="00DA1A20"/>
    <w:rsid w:val="00DA25DA"/>
    <w:rsid w:val="00DA3478"/>
    <w:rsid w:val="00DA3B9A"/>
    <w:rsid w:val="00DA3CD2"/>
    <w:rsid w:val="00DA4410"/>
    <w:rsid w:val="00DA44CE"/>
    <w:rsid w:val="00DA54D8"/>
    <w:rsid w:val="00DA5F09"/>
    <w:rsid w:val="00DA6823"/>
    <w:rsid w:val="00DA781A"/>
    <w:rsid w:val="00DA7CC5"/>
    <w:rsid w:val="00DB023F"/>
    <w:rsid w:val="00DB157C"/>
    <w:rsid w:val="00DB16E3"/>
    <w:rsid w:val="00DB1E98"/>
    <w:rsid w:val="00DB3DEA"/>
    <w:rsid w:val="00DB3F50"/>
    <w:rsid w:val="00DB4922"/>
    <w:rsid w:val="00DB49D6"/>
    <w:rsid w:val="00DB507E"/>
    <w:rsid w:val="00DB5586"/>
    <w:rsid w:val="00DB5953"/>
    <w:rsid w:val="00DB6FF0"/>
    <w:rsid w:val="00DB7484"/>
    <w:rsid w:val="00DB75D1"/>
    <w:rsid w:val="00DB7961"/>
    <w:rsid w:val="00DB7EE9"/>
    <w:rsid w:val="00DC1156"/>
    <w:rsid w:val="00DC12AD"/>
    <w:rsid w:val="00DC1814"/>
    <w:rsid w:val="00DC1E8F"/>
    <w:rsid w:val="00DC2805"/>
    <w:rsid w:val="00DC310F"/>
    <w:rsid w:val="00DC35CC"/>
    <w:rsid w:val="00DC4562"/>
    <w:rsid w:val="00DC4F7C"/>
    <w:rsid w:val="00DC5081"/>
    <w:rsid w:val="00DC572A"/>
    <w:rsid w:val="00DC606C"/>
    <w:rsid w:val="00DC6824"/>
    <w:rsid w:val="00DD1668"/>
    <w:rsid w:val="00DD1A44"/>
    <w:rsid w:val="00DD22B6"/>
    <w:rsid w:val="00DD3018"/>
    <w:rsid w:val="00DD31D6"/>
    <w:rsid w:val="00DD37ED"/>
    <w:rsid w:val="00DD46A6"/>
    <w:rsid w:val="00DD472F"/>
    <w:rsid w:val="00DD4DA1"/>
    <w:rsid w:val="00DD4E45"/>
    <w:rsid w:val="00DD4E74"/>
    <w:rsid w:val="00DD5585"/>
    <w:rsid w:val="00DD590B"/>
    <w:rsid w:val="00DD6B31"/>
    <w:rsid w:val="00DD7170"/>
    <w:rsid w:val="00DE1611"/>
    <w:rsid w:val="00DE17E3"/>
    <w:rsid w:val="00DE22D5"/>
    <w:rsid w:val="00DE2F27"/>
    <w:rsid w:val="00DE3233"/>
    <w:rsid w:val="00DE3606"/>
    <w:rsid w:val="00DE3657"/>
    <w:rsid w:val="00DE37BF"/>
    <w:rsid w:val="00DE3845"/>
    <w:rsid w:val="00DE3C90"/>
    <w:rsid w:val="00DE4821"/>
    <w:rsid w:val="00DE4A82"/>
    <w:rsid w:val="00DE51DE"/>
    <w:rsid w:val="00DE5763"/>
    <w:rsid w:val="00DE593C"/>
    <w:rsid w:val="00DE5BC8"/>
    <w:rsid w:val="00DE5E36"/>
    <w:rsid w:val="00DE6928"/>
    <w:rsid w:val="00DE6979"/>
    <w:rsid w:val="00DE6D68"/>
    <w:rsid w:val="00DE73F7"/>
    <w:rsid w:val="00DE780B"/>
    <w:rsid w:val="00DE7844"/>
    <w:rsid w:val="00DE790B"/>
    <w:rsid w:val="00DF0907"/>
    <w:rsid w:val="00DF0D5B"/>
    <w:rsid w:val="00DF0EF8"/>
    <w:rsid w:val="00DF167D"/>
    <w:rsid w:val="00DF17D8"/>
    <w:rsid w:val="00DF1E6D"/>
    <w:rsid w:val="00DF222F"/>
    <w:rsid w:val="00DF2561"/>
    <w:rsid w:val="00DF30C9"/>
    <w:rsid w:val="00DF388D"/>
    <w:rsid w:val="00DF41A2"/>
    <w:rsid w:val="00DF4ADD"/>
    <w:rsid w:val="00DF6751"/>
    <w:rsid w:val="00DF6CDE"/>
    <w:rsid w:val="00DF6E3F"/>
    <w:rsid w:val="00DF7761"/>
    <w:rsid w:val="00DF7956"/>
    <w:rsid w:val="00E00366"/>
    <w:rsid w:val="00E004A3"/>
    <w:rsid w:val="00E00F0F"/>
    <w:rsid w:val="00E027A3"/>
    <w:rsid w:val="00E03055"/>
    <w:rsid w:val="00E03289"/>
    <w:rsid w:val="00E03DDB"/>
    <w:rsid w:val="00E04AA5"/>
    <w:rsid w:val="00E04D3B"/>
    <w:rsid w:val="00E04F08"/>
    <w:rsid w:val="00E04FB1"/>
    <w:rsid w:val="00E05AC2"/>
    <w:rsid w:val="00E05BF1"/>
    <w:rsid w:val="00E05F5D"/>
    <w:rsid w:val="00E0648E"/>
    <w:rsid w:val="00E07326"/>
    <w:rsid w:val="00E07963"/>
    <w:rsid w:val="00E10250"/>
    <w:rsid w:val="00E114BD"/>
    <w:rsid w:val="00E121A4"/>
    <w:rsid w:val="00E131A3"/>
    <w:rsid w:val="00E13D17"/>
    <w:rsid w:val="00E14549"/>
    <w:rsid w:val="00E14BCB"/>
    <w:rsid w:val="00E14D4D"/>
    <w:rsid w:val="00E14F00"/>
    <w:rsid w:val="00E15CDB"/>
    <w:rsid w:val="00E16451"/>
    <w:rsid w:val="00E16936"/>
    <w:rsid w:val="00E171FB"/>
    <w:rsid w:val="00E2017B"/>
    <w:rsid w:val="00E210F7"/>
    <w:rsid w:val="00E228C8"/>
    <w:rsid w:val="00E22AD1"/>
    <w:rsid w:val="00E2343C"/>
    <w:rsid w:val="00E23CBA"/>
    <w:rsid w:val="00E25A07"/>
    <w:rsid w:val="00E2669A"/>
    <w:rsid w:val="00E26909"/>
    <w:rsid w:val="00E328F0"/>
    <w:rsid w:val="00E32E04"/>
    <w:rsid w:val="00E32E23"/>
    <w:rsid w:val="00E32F95"/>
    <w:rsid w:val="00E33447"/>
    <w:rsid w:val="00E339A8"/>
    <w:rsid w:val="00E3425A"/>
    <w:rsid w:val="00E34512"/>
    <w:rsid w:val="00E3793E"/>
    <w:rsid w:val="00E379B1"/>
    <w:rsid w:val="00E37ADA"/>
    <w:rsid w:val="00E40016"/>
    <w:rsid w:val="00E409E2"/>
    <w:rsid w:val="00E411AB"/>
    <w:rsid w:val="00E412BB"/>
    <w:rsid w:val="00E4176F"/>
    <w:rsid w:val="00E42F18"/>
    <w:rsid w:val="00E437A9"/>
    <w:rsid w:val="00E44C11"/>
    <w:rsid w:val="00E45E2B"/>
    <w:rsid w:val="00E460E2"/>
    <w:rsid w:val="00E461CE"/>
    <w:rsid w:val="00E463A8"/>
    <w:rsid w:val="00E46C47"/>
    <w:rsid w:val="00E51E75"/>
    <w:rsid w:val="00E52176"/>
    <w:rsid w:val="00E53C9F"/>
    <w:rsid w:val="00E54B8B"/>
    <w:rsid w:val="00E54DA3"/>
    <w:rsid w:val="00E5508F"/>
    <w:rsid w:val="00E56127"/>
    <w:rsid w:val="00E56420"/>
    <w:rsid w:val="00E565B1"/>
    <w:rsid w:val="00E57610"/>
    <w:rsid w:val="00E57B12"/>
    <w:rsid w:val="00E60448"/>
    <w:rsid w:val="00E612C4"/>
    <w:rsid w:val="00E616C2"/>
    <w:rsid w:val="00E619A6"/>
    <w:rsid w:val="00E61AEE"/>
    <w:rsid w:val="00E61BE7"/>
    <w:rsid w:val="00E62F8D"/>
    <w:rsid w:val="00E63233"/>
    <w:rsid w:val="00E6437B"/>
    <w:rsid w:val="00E648E3"/>
    <w:rsid w:val="00E64D23"/>
    <w:rsid w:val="00E6546E"/>
    <w:rsid w:val="00E656E4"/>
    <w:rsid w:val="00E6638D"/>
    <w:rsid w:val="00E66838"/>
    <w:rsid w:val="00E66B48"/>
    <w:rsid w:val="00E66FFB"/>
    <w:rsid w:val="00E676BE"/>
    <w:rsid w:val="00E708E5"/>
    <w:rsid w:val="00E7122D"/>
    <w:rsid w:val="00E712DE"/>
    <w:rsid w:val="00E71D34"/>
    <w:rsid w:val="00E71FFD"/>
    <w:rsid w:val="00E723E1"/>
    <w:rsid w:val="00E72571"/>
    <w:rsid w:val="00E727B6"/>
    <w:rsid w:val="00E7338E"/>
    <w:rsid w:val="00E739D4"/>
    <w:rsid w:val="00E73F9E"/>
    <w:rsid w:val="00E74E31"/>
    <w:rsid w:val="00E761BD"/>
    <w:rsid w:val="00E765F2"/>
    <w:rsid w:val="00E76BC4"/>
    <w:rsid w:val="00E775CA"/>
    <w:rsid w:val="00E776B0"/>
    <w:rsid w:val="00E77E4B"/>
    <w:rsid w:val="00E800C4"/>
    <w:rsid w:val="00E815C0"/>
    <w:rsid w:val="00E81DA9"/>
    <w:rsid w:val="00E836DF"/>
    <w:rsid w:val="00E84540"/>
    <w:rsid w:val="00E850B6"/>
    <w:rsid w:val="00E85B1A"/>
    <w:rsid w:val="00E85CD0"/>
    <w:rsid w:val="00E87288"/>
    <w:rsid w:val="00E874AC"/>
    <w:rsid w:val="00E87815"/>
    <w:rsid w:val="00E8786F"/>
    <w:rsid w:val="00E87BC9"/>
    <w:rsid w:val="00E87CCB"/>
    <w:rsid w:val="00E87E24"/>
    <w:rsid w:val="00E90119"/>
    <w:rsid w:val="00E915C6"/>
    <w:rsid w:val="00E91D43"/>
    <w:rsid w:val="00E92673"/>
    <w:rsid w:val="00E92AD5"/>
    <w:rsid w:val="00E93A5B"/>
    <w:rsid w:val="00E94813"/>
    <w:rsid w:val="00E94C5B"/>
    <w:rsid w:val="00E94DD1"/>
    <w:rsid w:val="00E963E8"/>
    <w:rsid w:val="00E96CC5"/>
    <w:rsid w:val="00E96E55"/>
    <w:rsid w:val="00E973CD"/>
    <w:rsid w:val="00EA15ED"/>
    <w:rsid w:val="00EA1641"/>
    <w:rsid w:val="00EA2525"/>
    <w:rsid w:val="00EA2FE0"/>
    <w:rsid w:val="00EA3067"/>
    <w:rsid w:val="00EA3C5D"/>
    <w:rsid w:val="00EA4075"/>
    <w:rsid w:val="00EA46E0"/>
    <w:rsid w:val="00EA4AA8"/>
    <w:rsid w:val="00EA50A2"/>
    <w:rsid w:val="00EA58B7"/>
    <w:rsid w:val="00EA5A1B"/>
    <w:rsid w:val="00EA69ED"/>
    <w:rsid w:val="00EA7006"/>
    <w:rsid w:val="00EB0465"/>
    <w:rsid w:val="00EB0718"/>
    <w:rsid w:val="00EB0A08"/>
    <w:rsid w:val="00EB115D"/>
    <w:rsid w:val="00EB19C2"/>
    <w:rsid w:val="00EB1B9C"/>
    <w:rsid w:val="00EB1C1A"/>
    <w:rsid w:val="00EB3C72"/>
    <w:rsid w:val="00EB4FAB"/>
    <w:rsid w:val="00EB517E"/>
    <w:rsid w:val="00EB661D"/>
    <w:rsid w:val="00EB6D24"/>
    <w:rsid w:val="00EB7196"/>
    <w:rsid w:val="00EB79D8"/>
    <w:rsid w:val="00EB7BB0"/>
    <w:rsid w:val="00EC0824"/>
    <w:rsid w:val="00EC0B3A"/>
    <w:rsid w:val="00EC0C46"/>
    <w:rsid w:val="00EC175B"/>
    <w:rsid w:val="00EC1A0C"/>
    <w:rsid w:val="00EC2483"/>
    <w:rsid w:val="00EC370B"/>
    <w:rsid w:val="00EC4681"/>
    <w:rsid w:val="00EC485C"/>
    <w:rsid w:val="00EC4AC0"/>
    <w:rsid w:val="00EC5324"/>
    <w:rsid w:val="00EC557D"/>
    <w:rsid w:val="00EC5D47"/>
    <w:rsid w:val="00EC6002"/>
    <w:rsid w:val="00EC68AD"/>
    <w:rsid w:val="00EC7545"/>
    <w:rsid w:val="00ED2659"/>
    <w:rsid w:val="00ED39C3"/>
    <w:rsid w:val="00ED3E07"/>
    <w:rsid w:val="00ED406E"/>
    <w:rsid w:val="00ED41DB"/>
    <w:rsid w:val="00ED4688"/>
    <w:rsid w:val="00ED50CF"/>
    <w:rsid w:val="00ED532A"/>
    <w:rsid w:val="00ED544C"/>
    <w:rsid w:val="00ED555A"/>
    <w:rsid w:val="00EE07DE"/>
    <w:rsid w:val="00EE0DB0"/>
    <w:rsid w:val="00EE1254"/>
    <w:rsid w:val="00EE1579"/>
    <w:rsid w:val="00EE17DE"/>
    <w:rsid w:val="00EE2A7C"/>
    <w:rsid w:val="00EE336C"/>
    <w:rsid w:val="00EE3444"/>
    <w:rsid w:val="00EE3A56"/>
    <w:rsid w:val="00EE3A91"/>
    <w:rsid w:val="00EE52E0"/>
    <w:rsid w:val="00EE54F2"/>
    <w:rsid w:val="00EE566F"/>
    <w:rsid w:val="00EE56E6"/>
    <w:rsid w:val="00EE580C"/>
    <w:rsid w:val="00EE59E2"/>
    <w:rsid w:val="00EE763E"/>
    <w:rsid w:val="00EE7EDB"/>
    <w:rsid w:val="00EF02C0"/>
    <w:rsid w:val="00EF0696"/>
    <w:rsid w:val="00EF0F52"/>
    <w:rsid w:val="00EF0F66"/>
    <w:rsid w:val="00EF2087"/>
    <w:rsid w:val="00EF2DCF"/>
    <w:rsid w:val="00EF2E43"/>
    <w:rsid w:val="00EF377A"/>
    <w:rsid w:val="00EF3E49"/>
    <w:rsid w:val="00EF40FF"/>
    <w:rsid w:val="00EF4A26"/>
    <w:rsid w:val="00EF4DBA"/>
    <w:rsid w:val="00EF4E11"/>
    <w:rsid w:val="00EF4EC9"/>
    <w:rsid w:val="00EF5DA4"/>
    <w:rsid w:val="00EF6532"/>
    <w:rsid w:val="00EF6DFC"/>
    <w:rsid w:val="00EF77C1"/>
    <w:rsid w:val="00EF7ECA"/>
    <w:rsid w:val="00F0004E"/>
    <w:rsid w:val="00F002CC"/>
    <w:rsid w:val="00F01986"/>
    <w:rsid w:val="00F01DC8"/>
    <w:rsid w:val="00F02A7D"/>
    <w:rsid w:val="00F02BC9"/>
    <w:rsid w:val="00F03C8D"/>
    <w:rsid w:val="00F05115"/>
    <w:rsid w:val="00F05739"/>
    <w:rsid w:val="00F05879"/>
    <w:rsid w:val="00F06447"/>
    <w:rsid w:val="00F06F59"/>
    <w:rsid w:val="00F0724A"/>
    <w:rsid w:val="00F07492"/>
    <w:rsid w:val="00F078B0"/>
    <w:rsid w:val="00F07C51"/>
    <w:rsid w:val="00F1029F"/>
    <w:rsid w:val="00F11A9D"/>
    <w:rsid w:val="00F139F9"/>
    <w:rsid w:val="00F13A29"/>
    <w:rsid w:val="00F13E34"/>
    <w:rsid w:val="00F1420E"/>
    <w:rsid w:val="00F14710"/>
    <w:rsid w:val="00F1507A"/>
    <w:rsid w:val="00F15525"/>
    <w:rsid w:val="00F15872"/>
    <w:rsid w:val="00F15D7A"/>
    <w:rsid w:val="00F15EB6"/>
    <w:rsid w:val="00F15F98"/>
    <w:rsid w:val="00F162DC"/>
    <w:rsid w:val="00F167CE"/>
    <w:rsid w:val="00F168CB"/>
    <w:rsid w:val="00F16927"/>
    <w:rsid w:val="00F17CFD"/>
    <w:rsid w:val="00F20403"/>
    <w:rsid w:val="00F21246"/>
    <w:rsid w:val="00F220C6"/>
    <w:rsid w:val="00F228E2"/>
    <w:rsid w:val="00F23920"/>
    <w:rsid w:val="00F239BF"/>
    <w:rsid w:val="00F248B3"/>
    <w:rsid w:val="00F24A05"/>
    <w:rsid w:val="00F24D48"/>
    <w:rsid w:val="00F24E40"/>
    <w:rsid w:val="00F256D2"/>
    <w:rsid w:val="00F261E3"/>
    <w:rsid w:val="00F26436"/>
    <w:rsid w:val="00F26E4A"/>
    <w:rsid w:val="00F2717E"/>
    <w:rsid w:val="00F27B38"/>
    <w:rsid w:val="00F30044"/>
    <w:rsid w:val="00F31B2E"/>
    <w:rsid w:val="00F32243"/>
    <w:rsid w:val="00F32DD2"/>
    <w:rsid w:val="00F33623"/>
    <w:rsid w:val="00F33A91"/>
    <w:rsid w:val="00F342F8"/>
    <w:rsid w:val="00F34630"/>
    <w:rsid w:val="00F3667D"/>
    <w:rsid w:val="00F36814"/>
    <w:rsid w:val="00F37F5B"/>
    <w:rsid w:val="00F400D7"/>
    <w:rsid w:val="00F401F1"/>
    <w:rsid w:val="00F403F7"/>
    <w:rsid w:val="00F404BA"/>
    <w:rsid w:val="00F41BDA"/>
    <w:rsid w:val="00F4349D"/>
    <w:rsid w:val="00F452A9"/>
    <w:rsid w:val="00F458E4"/>
    <w:rsid w:val="00F45A20"/>
    <w:rsid w:val="00F46024"/>
    <w:rsid w:val="00F462D7"/>
    <w:rsid w:val="00F478DF"/>
    <w:rsid w:val="00F47EEA"/>
    <w:rsid w:val="00F500BF"/>
    <w:rsid w:val="00F50395"/>
    <w:rsid w:val="00F50DEB"/>
    <w:rsid w:val="00F5252D"/>
    <w:rsid w:val="00F52CB6"/>
    <w:rsid w:val="00F52E3C"/>
    <w:rsid w:val="00F53B6D"/>
    <w:rsid w:val="00F54BCB"/>
    <w:rsid w:val="00F55964"/>
    <w:rsid w:val="00F5613E"/>
    <w:rsid w:val="00F566B7"/>
    <w:rsid w:val="00F56ACA"/>
    <w:rsid w:val="00F6026A"/>
    <w:rsid w:val="00F611CF"/>
    <w:rsid w:val="00F62338"/>
    <w:rsid w:val="00F623CD"/>
    <w:rsid w:val="00F6254B"/>
    <w:rsid w:val="00F630BD"/>
    <w:rsid w:val="00F63719"/>
    <w:rsid w:val="00F64E2F"/>
    <w:rsid w:val="00F65702"/>
    <w:rsid w:val="00F66835"/>
    <w:rsid w:val="00F66929"/>
    <w:rsid w:val="00F67412"/>
    <w:rsid w:val="00F67C46"/>
    <w:rsid w:val="00F70B0F"/>
    <w:rsid w:val="00F70FA5"/>
    <w:rsid w:val="00F71035"/>
    <w:rsid w:val="00F712C0"/>
    <w:rsid w:val="00F713AA"/>
    <w:rsid w:val="00F7177B"/>
    <w:rsid w:val="00F719E6"/>
    <w:rsid w:val="00F722DE"/>
    <w:rsid w:val="00F729D8"/>
    <w:rsid w:val="00F73C97"/>
    <w:rsid w:val="00F73FF1"/>
    <w:rsid w:val="00F74145"/>
    <w:rsid w:val="00F751BF"/>
    <w:rsid w:val="00F7551D"/>
    <w:rsid w:val="00F75F0A"/>
    <w:rsid w:val="00F75F45"/>
    <w:rsid w:val="00F7654F"/>
    <w:rsid w:val="00F771CD"/>
    <w:rsid w:val="00F775BE"/>
    <w:rsid w:val="00F77879"/>
    <w:rsid w:val="00F80206"/>
    <w:rsid w:val="00F80735"/>
    <w:rsid w:val="00F8076C"/>
    <w:rsid w:val="00F80DB1"/>
    <w:rsid w:val="00F817D4"/>
    <w:rsid w:val="00F81863"/>
    <w:rsid w:val="00F83010"/>
    <w:rsid w:val="00F84C58"/>
    <w:rsid w:val="00F84C80"/>
    <w:rsid w:val="00F84E5F"/>
    <w:rsid w:val="00F853F5"/>
    <w:rsid w:val="00F858B1"/>
    <w:rsid w:val="00F85ECC"/>
    <w:rsid w:val="00F86A16"/>
    <w:rsid w:val="00F876E1"/>
    <w:rsid w:val="00F87901"/>
    <w:rsid w:val="00F87AE7"/>
    <w:rsid w:val="00F90632"/>
    <w:rsid w:val="00F90901"/>
    <w:rsid w:val="00F911F3"/>
    <w:rsid w:val="00F91A51"/>
    <w:rsid w:val="00F91D2D"/>
    <w:rsid w:val="00F9249F"/>
    <w:rsid w:val="00F92A92"/>
    <w:rsid w:val="00F930C2"/>
    <w:rsid w:val="00F95DF8"/>
    <w:rsid w:val="00F970CF"/>
    <w:rsid w:val="00F974C3"/>
    <w:rsid w:val="00F97A5A"/>
    <w:rsid w:val="00FA01B7"/>
    <w:rsid w:val="00FA2488"/>
    <w:rsid w:val="00FA27BF"/>
    <w:rsid w:val="00FA2969"/>
    <w:rsid w:val="00FA29B9"/>
    <w:rsid w:val="00FA30DF"/>
    <w:rsid w:val="00FA4A6B"/>
    <w:rsid w:val="00FA568F"/>
    <w:rsid w:val="00FA578A"/>
    <w:rsid w:val="00FA5B6D"/>
    <w:rsid w:val="00FA602F"/>
    <w:rsid w:val="00FA6936"/>
    <w:rsid w:val="00FA70B5"/>
    <w:rsid w:val="00FB07F6"/>
    <w:rsid w:val="00FB162C"/>
    <w:rsid w:val="00FB1DEA"/>
    <w:rsid w:val="00FB2D95"/>
    <w:rsid w:val="00FB551D"/>
    <w:rsid w:val="00FB59E9"/>
    <w:rsid w:val="00FB5B64"/>
    <w:rsid w:val="00FB61A4"/>
    <w:rsid w:val="00FB6556"/>
    <w:rsid w:val="00FB6863"/>
    <w:rsid w:val="00FB6DB2"/>
    <w:rsid w:val="00FB70C4"/>
    <w:rsid w:val="00FC0C4F"/>
    <w:rsid w:val="00FC0D02"/>
    <w:rsid w:val="00FC0DF6"/>
    <w:rsid w:val="00FC1856"/>
    <w:rsid w:val="00FC32D2"/>
    <w:rsid w:val="00FC3B3F"/>
    <w:rsid w:val="00FC3C42"/>
    <w:rsid w:val="00FC4D8A"/>
    <w:rsid w:val="00FC7438"/>
    <w:rsid w:val="00FD052F"/>
    <w:rsid w:val="00FD0BEE"/>
    <w:rsid w:val="00FD0E49"/>
    <w:rsid w:val="00FD1060"/>
    <w:rsid w:val="00FD1765"/>
    <w:rsid w:val="00FD1FCC"/>
    <w:rsid w:val="00FD22D5"/>
    <w:rsid w:val="00FD2B0C"/>
    <w:rsid w:val="00FD34A0"/>
    <w:rsid w:val="00FD38FC"/>
    <w:rsid w:val="00FD3DC1"/>
    <w:rsid w:val="00FD3F03"/>
    <w:rsid w:val="00FD4337"/>
    <w:rsid w:val="00FD43FE"/>
    <w:rsid w:val="00FD5798"/>
    <w:rsid w:val="00FD6778"/>
    <w:rsid w:val="00FD68B5"/>
    <w:rsid w:val="00FD78BF"/>
    <w:rsid w:val="00FD7914"/>
    <w:rsid w:val="00FD7AFE"/>
    <w:rsid w:val="00FD7ED9"/>
    <w:rsid w:val="00FE071B"/>
    <w:rsid w:val="00FE3142"/>
    <w:rsid w:val="00FE4AEC"/>
    <w:rsid w:val="00FE50B9"/>
    <w:rsid w:val="00FE589C"/>
    <w:rsid w:val="00FE58DA"/>
    <w:rsid w:val="00FE6996"/>
    <w:rsid w:val="00FE6C9B"/>
    <w:rsid w:val="00FE79D4"/>
    <w:rsid w:val="00FF0338"/>
    <w:rsid w:val="00FF0D96"/>
    <w:rsid w:val="00FF10F8"/>
    <w:rsid w:val="00FF1990"/>
    <w:rsid w:val="00FF22BF"/>
    <w:rsid w:val="00FF23AA"/>
    <w:rsid w:val="00FF304C"/>
    <w:rsid w:val="00FF3505"/>
    <w:rsid w:val="00FF399B"/>
    <w:rsid w:val="00FF3B15"/>
    <w:rsid w:val="00FF43E1"/>
    <w:rsid w:val="00FF443F"/>
    <w:rsid w:val="00FF4AC3"/>
    <w:rsid w:val="00FF5042"/>
    <w:rsid w:val="00FF57E7"/>
    <w:rsid w:val="00FF590F"/>
    <w:rsid w:val="00FF5D1D"/>
    <w:rsid w:val="00FF675B"/>
    <w:rsid w:val="00FF6D01"/>
    <w:rsid w:val="00FF7603"/>
  </w:rsids>
  <m:mathPr>
    <m:mathFont m:val="Cambria Math"/>
    <m:brkBin m:val="before"/>
    <m:brkBinSub m:val="--"/>
    <m:smallFrac/>
    <m:dispDef/>
    <m:lMargin m:val="0"/>
    <m:rMargin m:val="0"/>
    <m:defJc m:val="centerGroup"/>
    <m:wrapRight/>
    <m:intLim m:val="subSup"/>
    <m:naryLim m:val="subSup"/>
  </m:mathPr>
  <w:themeFontLang w:val="en-NZ" w:eastAsia="ja-JP" w:bidi="km-K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16A3694"/>
  <w15:docId w15:val="{2510CD52-422A-DD42-BF77-14F9621E8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9" w:qFormat="1"/>
    <w:lsdException w:name="heading 3" w:uiPriority="9" w:qFormat="1"/>
    <w:lsdException w:name="heading 4" w:uiPriority="9" w:qFormat="1"/>
    <w:lsdException w:name="heading 5" w:uiPriority="0"/>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rsid w:val="002178E8"/>
    <w:pPr>
      <w:autoSpaceDE w:val="0"/>
      <w:autoSpaceDN w:val="0"/>
      <w:adjustRightInd w:val="0"/>
      <w:spacing w:after="240" w:line="300" w:lineRule="auto"/>
    </w:pPr>
    <w:rPr>
      <w:rFonts w:ascii="Helvetica" w:eastAsia="Times New Roman" w:hAnsi="Helvetica" w:cs="ArialMT"/>
      <w:sz w:val="22"/>
      <w:szCs w:val="22"/>
      <w:lang w:bidi="en-US"/>
    </w:rPr>
  </w:style>
  <w:style w:type="paragraph" w:styleId="1">
    <w:name w:val="heading 1"/>
    <w:basedOn w:val="a"/>
    <w:next w:val="a0"/>
    <w:link w:val="10"/>
    <w:qFormat/>
    <w:rsid w:val="00DE22D5"/>
    <w:pPr>
      <w:keepNext/>
      <w:numPr>
        <w:numId w:val="6"/>
      </w:numPr>
      <w:spacing w:after="120" w:line="240" w:lineRule="auto"/>
      <w:outlineLvl w:val="0"/>
    </w:pPr>
    <w:rPr>
      <w:rFonts w:ascii="Arial" w:hAnsi="Arial" w:cs="Arial"/>
      <w:bCs/>
      <w:color w:val="143C71"/>
      <w:kern w:val="32"/>
      <w:sz w:val="40"/>
      <w:szCs w:val="40"/>
    </w:rPr>
  </w:style>
  <w:style w:type="paragraph" w:styleId="20">
    <w:name w:val="heading 2"/>
    <w:basedOn w:val="a"/>
    <w:next w:val="a0"/>
    <w:link w:val="21"/>
    <w:qFormat/>
    <w:rsid w:val="00D60F5F"/>
    <w:pPr>
      <w:keepNext/>
      <w:numPr>
        <w:ilvl w:val="1"/>
        <w:numId w:val="6"/>
      </w:numPr>
      <w:spacing w:before="360" w:after="120" w:line="240" w:lineRule="auto"/>
      <w:outlineLvl w:val="1"/>
    </w:pPr>
    <w:rPr>
      <w:rFonts w:ascii="Arial" w:hAnsi="Arial" w:cs="Arial"/>
      <w:bCs/>
      <w:color w:val="098435"/>
      <w:sz w:val="32"/>
      <w:szCs w:val="32"/>
    </w:rPr>
  </w:style>
  <w:style w:type="paragraph" w:styleId="3">
    <w:name w:val="heading 3"/>
    <w:basedOn w:val="a"/>
    <w:next w:val="a"/>
    <w:link w:val="30"/>
    <w:qFormat/>
    <w:rsid w:val="0041474B"/>
    <w:pPr>
      <w:keepNext/>
      <w:spacing w:before="360" w:after="120" w:line="240" w:lineRule="auto"/>
      <w:outlineLvl w:val="2"/>
    </w:pPr>
    <w:rPr>
      <w:rFonts w:ascii="Arial" w:hAnsi="Arial" w:cs="Arial"/>
      <w:bCs/>
      <w:sz w:val="28"/>
      <w:szCs w:val="28"/>
    </w:rPr>
  </w:style>
  <w:style w:type="paragraph" w:styleId="4">
    <w:name w:val="heading 4"/>
    <w:basedOn w:val="a"/>
    <w:next w:val="a"/>
    <w:link w:val="40"/>
    <w:qFormat/>
    <w:rsid w:val="00CF218E"/>
    <w:pPr>
      <w:keepNext/>
      <w:numPr>
        <w:ilvl w:val="3"/>
        <w:numId w:val="6"/>
      </w:numPr>
      <w:spacing w:before="240" w:after="120" w:line="240" w:lineRule="auto"/>
      <w:outlineLvl w:val="3"/>
    </w:pPr>
    <w:rPr>
      <w:rFonts w:ascii="Arial" w:hAnsi="Arial" w:cs="Arial"/>
      <w:bCs/>
      <w:iCs/>
      <w:sz w:val="26"/>
      <w:szCs w:val="26"/>
    </w:rPr>
  </w:style>
  <w:style w:type="paragraph" w:styleId="5">
    <w:name w:val="heading 5"/>
    <w:aliases w:val="Text box headings"/>
    <w:basedOn w:val="a"/>
    <w:next w:val="a"/>
    <w:link w:val="50"/>
    <w:pPr>
      <w:spacing w:before="240" w:after="60"/>
      <w:outlineLvl w:val="4"/>
    </w:pPr>
    <w:rPr>
      <w:rFonts w:ascii="Arial Narrow" w:hAnsi="Arial Narrow"/>
      <w:b/>
      <w:color w:val="003366"/>
      <w:sz w:val="26"/>
      <w:szCs w:val="26"/>
    </w:rPr>
  </w:style>
  <w:style w:type="paragraph" w:styleId="6">
    <w:name w:val="heading 6"/>
    <w:aliases w:val="Table Style"/>
    <w:basedOn w:val="a"/>
    <w:next w:val="a"/>
    <w:pPr>
      <w:spacing w:before="240" w:after="60"/>
      <w:jc w:val="center"/>
      <w:outlineLvl w:val="5"/>
    </w:pPr>
    <w:rPr>
      <w:rFonts w:ascii="Arial Narrow" w:hAnsi="Arial Narrow"/>
      <w:b/>
      <w:color w:val="00B16B" w:themeColor="text2"/>
    </w:rPr>
  </w:style>
  <w:style w:type="paragraph" w:styleId="7">
    <w:name w:val="heading 7"/>
    <w:aliases w:val="Annex Text Box Style"/>
    <w:basedOn w:val="a"/>
    <w:next w:val="a"/>
    <w:pPr>
      <w:spacing w:before="240" w:after="60"/>
      <w:outlineLvl w:val="6"/>
    </w:pPr>
    <w:rPr>
      <w:rFonts w:ascii="Arial Narrow" w:hAnsi="Arial Narrow"/>
      <w:b/>
      <w:color w:val="00B16B" w:themeColor="text2"/>
      <w:sz w:val="44"/>
      <w:szCs w:val="44"/>
    </w:rPr>
  </w:style>
  <w:style w:type="paragraph" w:styleId="8">
    <w:name w:val="heading 8"/>
    <w:basedOn w:val="a"/>
    <w:next w:val="a"/>
    <w:pPr>
      <w:spacing w:before="240" w:after="60"/>
      <w:outlineLvl w:val="7"/>
    </w:pPr>
    <w:rPr>
      <w:rFonts w:ascii="Times New Roman" w:hAnsi="Times New Roman"/>
      <w:i/>
    </w:rPr>
  </w:style>
  <w:style w:type="paragraph" w:styleId="9">
    <w:name w:val="heading 9"/>
    <w:basedOn w:val="a"/>
    <w:next w:val="a"/>
    <w:pPr>
      <w:spacing w:before="240" w:after="60"/>
      <w:outlineLvl w:val="8"/>
    </w:pPr>
    <w:rPr>
      <w:rFonts w:ascii="Arial"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uiPriority w:val="99"/>
    <w:unhideWhenUsed/>
    <w:qFormat/>
    <w:rsid w:val="001854F8"/>
    <w:rPr>
      <w:rFonts w:ascii="Arial" w:hAnsi="Arial" w:cs="Arial"/>
    </w:rPr>
  </w:style>
  <w:style w:type="character" w:customStyle="1" w:styleId="a4">
    <w:name w:val="Основной текст Знак"/>
    <w:basedOn w:val="a1"/>
    <w:link w:val="a0"/>
    <w:uiPriority w:val="99"/>
    <w:rsid w:val="001854F8"/>
    <w:rPr>
      <w:rFonts w:ascii="Arial" w:eastAsia="Times New Roman" w:hAnsi="Arial" w:cs="Arial"/>
      <w:sz w:val="22"/>
      <w:szCs w:val="22"/>
      <w:lang w:bidi="en-US"/>
    </w:rPr>
  </w:style>
  <w:style w:type="character" w:customStyle="1" w:styleId="10">
    <w:name w:val="Заголовок 1 Знак"/>
    <w:basedOn w:val="a1"/>
    <w:link w:val="1"/>
    <w:rsid w:val="00DE22D5"/>
    <w:rPr>
      <w:rFonts w:ascii="Arial" w:eastAsia="Times New Roman" w:hAnsi="Arial" w:cs="Arial"/>
      <w:bCs/>
      <w:color w:val="143C71"/>
      <w:kern w:val="32"/>
      <w:sz w:val="40"/>
      <w:szCs w:val="40"/>
      <w:lang w:bidi="en-US"/>
    </w:rPr>
  </w:style>
  <w:style w:type="character" w:customStyle="1" w:styleId="50">
    <w:name w:val="Заголовок 5 Знак"/>
    <w:aliases w:val="Text box headings Знак"/>
    <w:basedOn w:val="a1"/>
    <w:link w:val="5"/>
    <w:rPr>
      <w:rFonts w:ascii="Arial Narrow" w:hAnsi="Arial Narrow"/>
      <w:b/>
      <w:color w:val="003366"/>
      <w:sz w:val="26"/>
      <w:szCs w:val="26"/>
    </w:rPr>
  </w:style>
  <w:style w:type="paragraph" w:styleId="a5">
    <w:name w:val="header"/>
    <w:basedOn w:val="a"/>
    <w:link w:val="a6"/>
    <w:uiPriority w:val="99"/>
    <w:unhideWhenUsed/>
    <w:pPr>
      <w:tabs>
        <w:tab w:val="center" w:pos="4320"/>
        <w:tab w:val="right" w:pos="8640"/>
      </w:tabs>
      <w:spacing w:after="0"/>
    </w:pPr>
  </w:style>
  <w:style w:type="character" w:customStyle="1" w:styleId="a6">
    <w:name w:val="Верхний колонтитул Знак"/>
    <w:basedOn w:val="a1"/>
    <w:link w:val="a5"/>
    <w:uiPriority w:val="99"/>
  </w:style>
  <w:style w:type="paragraph" w:styleId="a7">
    <w:name w:val="footer"/>
    <w:basedOn w:val="a"/>
    <w:link w:val="a8"/>
    <w:uiPriority w:val="99"/>
    <w:unhideWhenUsed/>
    <w:pPr>
      <w:tabs>
        <w:tab w:val="center" w:pos="4320"/>
        <w:tab w:val="right" w:pos="8640"/>
      </w:tabs>
      <w:spacing w:after="0"/>
    </w:pPr>
  </w:style>
  <w:style w:type="character" w:customStyle="1" w:styleId="a8">
    <w:name w:val="Нижний колонтитул Знак"/>
    <w:basedOn w:val="a1"/>
    <w:link w:val="a7"/>
    <w:uiPriority w:val="99"/>
  </w:style>
  <w:style w:type="character" w:styleId="a9">
    <w:name w:val="page number"/>
    <w:basedOn w:val="a1"/>
  </w:style>
  <w:style w:type="table" w:customStyle="1" w:styleId="OU1">
    <w:name w:val="OU 1"/>
    <w:basedOn w:val="a2"/>
    <w:uiPriority w:val="99"/>
    <w:rsid w:val="000A3B21"/>
    <w:pPr>
      <w:snapToGrid w:val="0"/>
      <w:spacing w:before="40" w:after="40" w:line="276" w:lineRule="auto"/>
    </w:pPr>
    <w:rPr>
      <w:rFonts w:ascii="Helvetica" w:hAnsi="Helvetica"/>
      <w:sz w:val="22"/>
    </w:rPr>
    <w:tblPr>
      <w:tblBorders>
        <w:bottom w:val="single" w:sz="4" w:space="0" w:color="00A752"/>
        <w:insideH w:val="single" w:sz="4" w:space="0" w:color="00A752"/>
      </w:tblBorders>
    </w:tblPr>
    <w:tcPr>
      <w:vAlign w:val="center"/>
    </w:tcPr>
  </w:style>
  <w:style w:type="paragraph" w:styleId="aa">
    <w:name w:val="toa heading"/>
    <w:basedOn w:val="a"/>
    <w:next w:val="a"/>
    <w:semiHidden/>
    <w:pPr>
      <w:spacing w:before="120"/>
    </w:pPr>
    <w:rPr>
      <w:rFonts w:ascii="Arial" w:hAnsi="Arial"/>
      <w:b/>
    </w:rPr>
  </w:style>
  <w:style w:type="paragraph" w:customStyle="1" w:styleId="HeadingStyle">
    <w:name w:val="Heading Style"/>
    <w:basedOn w:val="a"/>
    <w:rsid w:val="0042204F"/>
    <w:pPr>
      <w:widowControl w:val="0"/>
      <w:spacing w:after="280" w:line="280" w:lineRule="atLeast"/>
      <w:jc w:val="both"/>
    </w:pPr>
    <w:rPr>
      <w:color w:val="003366"/>
      <w:sz w:val="48"/>
    </w:rPr>
  </w:style>
  <w:style w:type="paragraph" w:styleId="31">
    <w:name w:val="toc 3"/>
    <w:basedOn w:val="a"/>
    <w:next w:val="a"/>
    <w:autoRedefine/>
    <w:uiPriority w:val="39"/>
    <w:pPr>
      <w:spacing w:after="0"/>
      <w:ind w:left="440"/>
    </w:pPr>
    <w:rPr>
      <w:rFonts w:asciiTheme="minorHAnsi" w:hAnsiTheme="minorHAnsi"/>
      <w:sz w:val="20"/>
      <w:szCs w:val="20"/>
    </w:rPr>
  </w:style>
  <w:style w:type="paragraph" w:styleId="41">
    <w:name w:val="toc 4"/>
    <w:basedOn w:val="a"/>
    <w:next w:val="a"/>
    <w:autoRedefine/>
    <w:uiPriority w:val="39"/>
    <w:pPr>
      <w:spacing w:after="0"/>
      <w:ind w:left="660"/>
    </w:pPr>
    <w:rPr>
      <w:rFonts w:asciiTheme="minorHAnsi" w:hAnsiTheme="minorHAnsi"/>
      <w:sz w:val="20"/>
      <w:szCs w:val="20"/>
    </w:rPr>
  </w:style>
  <w:style w:type="paragraph" w:styleId="51">
    <w:name w:val="toc 5"/>
    <w:basedOn w:val="a"/>
    <w:next w:val="a"/>
    <w:autoRedefine/>
    <w:uiPriority w:val="39"/>
    <w:pPr>
      <w:spacing w:after="0"/>
      <w:ind w:left="880"/>
    </w:pPr>
    <w:rPr>
      <w:rFonts w:asciiTheme="minorHAnsi" w:hAnsiTheme="minorHAnsi"/>
      <w:sz w:val="20"/>
      <w:szCs w:val="20"/>
    </w:rPr>
  </w:style>
  <w:style w:type="paragraph" w:styleId="60">
    <w:name w:val="toc 6"/>
    <w:basedOn w:val="a"/>
    <w:next w:val="a"/>
    <w:autoRedefine/>
    <w:uiPriority w:val="39"/>
    <w:pPr>
      <w:spacing w:after="0"/>
      <w:ind w:left="1100"/>
    </w:pPr>
    <w:rPr>
      <w:rFonts w:asciiTheme="minorHAnsi" w:hAnsiTheme="minorHAnsi"/>
      <w:sz w:val="20"/>
      <w:szCs w:val="20"/>
    </w:rPr>
  </w:style>
  <w:style w:type="paragraph" w:styleId="70">
    <w:name w:val="toc 7"/>
    <w:basedOn w:val="a"/>
    <w:next w:val="a"/>
    <w:autoRedefine/>
    <w:uiPriority w:val="39"/>
    <w:pPr>
      <w:spacing w:after="0"/>
      <w:ind w:left="1320"/>
    </w:pPr>
    <w:rPr>
      <w:rFonts w:asciiTheme="minorHAnsi" w:hAnsiTheme="minorHAnsi"/>
      <w:sz w:val="20"/>
      <w:szCs w:val="20"/>
    </w:rPr>
  </w:style>
  <w:style w:type="paragraph" w:styleId="80">
    <w:name w:val="toc 8"/>
    <w:basedOn w:val="a"/>
    <w:next w:val="a"/>
    <w:autoRedefine/>
    <w:uiPriority w:val="39"/>
    <w:pPr>
      <w:spacing w:after="0"/>
      <w:ind w:left="1540"/>
    </w:pPr>
    <w:rPr>
      <w:rFonts w:asciiTheme="minorHAnsi" w:hAnsiTheme="minorHAnsi"/>
      <w:sz w:val="20"/>
      <w:szCs w:val="20"/>
    </w:rPr>
  </w:style>
  <w:style w:type="paragraph" w:styleId="90">
    <w:name w:val="toc 9"/>
    <w:basedOn w:val="a"/>
    <w:next w:val="a"/>
    <w:autoRedefine/>
    <w:uiPriority w:val="39"/>
    <w:pPr>
      <w:spacing w:after="0"/>
      <w:ind w:left="1760"/>
    </w:pPr>
    <w:rPr>
      <w:rFonts w:asciiTheme="minorHAnsi" w:hAnsiTheme="minorHAnsi"/>
      <w:sz w:val="20"/>
      <w:szCs w:val="20"/>
    </w:rPr>
  </w:style>
  <w:style w:type="paragraph" w:styleId="ab">
    <w:name w:val="List Bullet"/>
    <w:basedOn w:val="a"/>
    <w:link w:val="ac"/>
    <w:autoRedefine/>
    <w:pPr>
      <w:tabs>
        <w:tab w:val="num" w:pos="0"/>
      </w:tabs>
    </w:pPr>
  </w:style>
  <w:style w:type="character" w:customStyle="1" w:styleId="ac">
    <w:name w:val="Маркированный список Знак"/>
    <w:basedOn w:val="a1"/>
    <w:link w:val="ab"/>
    <w:rPr>
      <w:rFonts w:ascii="Times" w:hAnsi="Times"/>
      <w:sz w:val="22"/>
      <w:szCs w:val="24"/>
    </w:rPr>
  </w:style>
  <w:style w:type="paragraph" w:styleId="2">
    <w:name w:val="List Bullet 2"/>
    <w:basedOn w:val="a"/>
    <w:autoRedefine/>
    <w:pPr>
      <w:numPr>
        <w:numId w:val="1"/>
      </w:numPr>
    </w:pPr>
    <w:rPr>
      <w:color w:val="000000"/>
    </w:rPr>
  </w:style>
  <w:style w:type="table" w:styleId="ad">
    <w:name w:val="Light Shading"/>
    <w:basedOn w:val="a2"/>
    <w:uiPriority w:val="60"/>
    <w:rsid w:val="001C744B"/>
    <w:rPr>
      <w:color w:val="0A3A6F" w:themeColor="text1" w:themeShade="BF"/>
    </w:rPr>
    <w:tblPr>
      <w:tblStyleRowBandSize w:val="1"/>
      <w:tblStyleColBandSize w:val="1"/>
      <w:tblBorders>
        <w:top w:val="single" w:sz="8" w:space="0" w:color="0E4E95" w:themeColor="text1"/>
        <w:bottom w:val="single" w:sz="8" w:space="0" w:color="0E4E95" w:themeColor="text1"/>
      </w:tblBorders>
    </w:tblPr>
    <w:tblStylePr w:type="firstRow">
      <w:pPr>
        <w:spacing w:before="0" w:after="0" w:line="240" w:lineRule="auto"/>
      </w:pPr>
      <w:rPr>
        <w:b/>
        <w:bCs/>
      </w:rPr>
      <w:tblPr/>
      <w:tcPr>
        <w:tcBorders>
          <w:top w:val="single" w:sz="8" w:space="0" w:color="0E4E95" w:themeColor="text1"/>
          <w:left w:val="nil"/>
          <w:bottom w:val="single" w:sz="8" w:space="0" w:color="0E4E95" w:themeColor="text1"/>
          <w:right w:val="nil"/>
          <w:insideH w:val="nil"/>
          <w:insideV w:val="nil"/>
        </w:tcBorders>
      </w:tcPr>
    </w:tblStylePr>
    <w:tblStylePr w:type="lastRow">
      <w:pPr>
        <w:spacing w:before="0" w:after="0" w:line="240" w:lineRule="auto"/>
      </w:pPr>
      <w:rPr>
        <w:b/>
        <w:bCs/>
      </w:rPr>
      <w:tblPr/>
      <w:tcPr>
        <w:tcBorders>
          <w:top w:val="single" w:sz="8" w:space="0" w:color="0E4E95" w:themeColor="text1"/>
          <w:left w:val="nil"/>
          <w:bottom w:val="single" w:sz="8" w:space="0" w:color="0E4E95"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1F7" w:themeFill="text1" w:themeFillTint="3F"/>
      </w:tcPr>
    </w:tblStylePr>
    <w:tblStylePr w:type="band1Horz">
      <w:tblPr/>
      <w:tcPr>
        <w:tcBorders>
          <w:left w:val="nil"/>
          <w:right w:val="nil"/>
          <w:insideH w:val="nil"/>
          <w:insideV w:val="nil"/>
        </w:tcBorders>
        <w:shd w:val="clear" w:color="auto" w:fill="B0D1F7" w:themeFill="text1" w:themeFillTint="3F"/>
      </w:tcPr>
    </w:tblStylePr>
  </w:style>
  <w:style w:type="table" w:styleId="ae">
    <w:name w:val="Table Theme"/>
    <w:basedOn w:val="a2"/>
    <w:pPr>
      <w:spacing w:after="2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Table Columns 1"/>
    <w:basedOn w:val="a2"/>
    <w:pPr>
      <w:spacing w:after="200"/>
    </w:pPr>
    <w:tblPr>
      <w:tblStyleColBandSize w:val="1"/>
      <w:tblBorders>
        <w:top w:val="single" w:sz="12" w:space="0" w:color="000000"/>
        <w:left w:val="single" w:sz="12" w:space="0" w:color="000000"/>
        <w:bottom w:val="single" w:sz="12" w:space="0" w:color="000000"/>
        <w:right w:val="single" w:sz="12" w:space="0" w:color="000000"/>
      </w:tblBorders>
    </w:tblPr>
    <w:tcPr>
      <w:shd w:val="pct25" w:color="000000" w:fill="FFFFFF"/>
    </w:tc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paragraph" w:styleId="af">
    <w:name w:val="Balloon Text"/>
    <w:basedOn w:val="a"/>
    <w:link w:val="af0"/>
    <w:uiPriority w:val="99"/>
    <w:semiHidden/>
    <w:unhideWhenUsed/>
    <w:pPr>
      <w:spacing w:after="0"/>
    </w:pPr>
    <w:rPr>
      <w:rFonts w:ascii="Tahoma" w:hAnsi="Tahoma" w:cs="Tahoma"/>
      <w:sz w:val="16"/>
      <w:szCs w:val="16"/>
    </w:rPr>
  </w:style>
  <w:style w:type="character" w:customStyle="1" w:styleId="af0">
    <w:name w:val="Текст выноски Знак"/>
    <w:basedOn w:val="a1"/>
    <w:link w:val="af"/>
    <w:uiPriority w:val="99"/>
    <w:semiHidden/>
    <w:rPr>
      <w:rFonts w:ascii="Tahoma" w:hAnsi="Tahoma" w:cs="Tahoma"/>
      <w:sz w:val="16"/>
      <w:szCs w:val="16"/>
    </w:rPr>
  </w:style>
  <w:style w:type="table" w:styleId="af1">
    <w:name w:val="Table Grid"/>
    <w:aliases w:val="MDF table style"/>
    <w:basedOn w:val="81"/>
    <w:uiPriority w:val="59"/>
    <w:rsid w:val="00EA2525"/>
    <w:rPr>
      <w:rFonts w:asciiTheme="majorHAnsi" w:hAnsiTheme="majorHAnsi"/>
      <w:sz w:val="18"/>
      <w:lang w:val="id-ID" w:eastAsia="id-ID" w:bidi="km-KH"/>
    </w:rPr>
    <w:tblPr>
      <w:tblBorders>
        <w:top w:val="single" w:sz="4" w:space="0" w:color="0E4E95" w:themeColor="text1"/>
        <w:left w:val="single" w:sz="4" w:space="0" w:color="0E4E95" w:themeColor="text1"/>
        <w:bottom w:val="single" w:sz="4" w:space="0" w:color="0E4E95" w:themeColor="text1"/>
        <w:right w:val="single" w:sz="4" w:space="0" w:color="0E4E95" w:themeColor="text1"/>
        <w:insideH w:val="single" w:sz="4" w:space="0" w:color="0E4E95" w:themeColor="text1"/>
        <w:insideV w:val="single" w:sz="4" w:space="0" w:color="0E4E95" w:themeColor="text1"/>
      </w:tblBorders>
    </w:tblPr>
    <w:tcPr>
      <w:vAlign w:val="center"/>
    </w:tcPr>
    <w:tblStylePr w:type="firstRow">
      <w:pPr>
        <w:jc w:val="center"/>
      </w:pPr>
      <w:rPr>
        <w:rFonts w:ascii="Calibri" w:hAnsi="Calibri"/>
        <w:b/>
        <w:bCs/>
        <w:color w:val="FFFFFF"/>
        <w:sz w:val="18"/>
      </w:rPr>
      <w:tblPr/>
      <w:tcPr>
        <w:tcBorders>
          <w:insideV w:val="single" w:sz="4" w:space="0" w:color="F8F8F8"/>
          <w:tl2br w:val="none" w:sz="0" w:space="0" w:color="auto"/>
          <w:tr2bl w:val="none" w:sz="0" w:space="0" w:color="auto"/>
        </w:tcBorders>
        <w:shd w:val="clear" w:color="auto" w:fill="0E4E95" w:themeFill="text1"/>
      </w:tcPr>
    </w:tblStylePr>
    <w:tblStylePr w:type="lastRow">
      <w:rPr>
        <w:rFonts w:ascii="Calibri" w:hAnsi="Calibri"/>
        <w:b w:val="0"/>
        <w:bCs/>
        <w:color w:val="auto"/>
        <w:sz w:val="18"/>
      </w:rPr>
      <w:tblPr/>
      <w:tcPr>
        <w:tcBorders>
          <w:tl2br w:val="none" w:sz="0" w:space="0" w:color="auto"/>
          <w:tr2bl w:val="none" w:sz="0" w:space="0" w:color="auto"/>
        </w:tcBorders>
      </w:tcPr>
    </w:tblStylePr>
    <w:tblStylePr w:type="lastCol">
      <w:rPr>
        <w:rFonts w:ascii="Calibri" w:hAnsi="Calibri"/>
        <w:b w:val="0"/>
        <w:bCs/>
        <w:color w:val="auto"/>
        <w:sz w:val="18"/>
      </w:rPr>
      <w:tblPr/>
      <w:tcPr>
        <w:tcBorders>
          <w:tl2br w:val="none" w:sz="0" w:space="0" w:color="auto"/>
          <w:tr2bl w:val="none" w:sz="0" w:space="0" w:color="auto"/>
        </w:tcBorders>
      </w:tcPr>
    </w:tblStylePr>
  </w:style>
  <w:style w:type="paragraph" w:styleId="af2">
    <w:name w:val="Title"/>
    <w:basedOn w:val="a"/>
    <w:next w:val="a"/>
    <w:link w:val="af3"/>
    <w:uiPriority w:val="10"/>
    <w:pPr>
      <w:pBdr>
        <w:bottom w:val="single" w:sz="8" w:space="4" w:color="FFC10E" w:themeColor="accent1"/>
      </w:pBdr>
      <w:spacing w:after="300"/>
      <w:contextualSpacing/>
    </w:pPr>
    <w:rPr>
      <w:rFonts w:asciiTheme="majorHAnsi" w:eastAsiaTheme="majorEastAsia" w:hAnsiTheme="majorHAnsi" w:cstheme="majorBidi"/>
      <w:color w:val="00844F" w:themeColor="text2" w:themeShade="BF"/>
      <w:spacing w:val="5"/>
      <w:kern w:val="28"/>
      <w:sz w:val="52"/>
      <w:szCs w:val="52"/>
    </w:rPr>
  </w:style>
  <w:style w:type="character" w:customStyle="1" w:styleId="af3">
    <w:name w:val="Заголовок Знак"/>
    <w:basedOn w:val="a1"/>
    <w:link w:val="af2"/>
    <w:uiPriority w:val="10"/>
    <w:rPr>
      <w:rFonts w:asciiTheme="majorHAnsi" w:eastAsiaTheme="majorEastAsia" w:hAnsiTheme="majorHAnsi" w:cstheme="majorBidi"/>
      <w:color w:val="00844F" w:themeColor="text2" w:themeShade="BF"/>
      <w:spacing w:val="5"/>
      <w:kern w:val="28"/>
      <w:sz w:val="52"/>
      <w:szCs w:val="52"/>
    </w:rPr>
  </w:style>
  <w:style w:type="paragraph" w:styleId="af4">
    <w:name w:val="TOC Heading"/>
    <w:basedOn w:val="1"/>
    <w:next w:val="a"/>
    <w:uiPriority w:val="39"/>
    <w:unhideWhenUsed/>
    <w:qFormat/>
    <w:pPr>
      <w:keepLines/>
      <w:spacing w:line="276" w:lineRule="auto"/>
      <w:outlineLvl w:val="9"/>
    </w:pPr>
    <w:rPr>
      <w:rFonts w:eastAsiaTheme="majorEastAsia" w:cstheme="majorBidi"/>
      <w:bCs w:val="0"/>
      <w:color w:val="C99500" w:themeColor="accent1" w:themeShade="BF"/>
      <w:kern w:val="0"/>
      <w:sz w:val="28"/>
      <w:szCs w:val="28"/>
    </w:rPr>
  </w:style>
  <w:style w:type="character" w:styleId="af5">
    <w:name w:val="Hyperlink"/>
    <w:basedOn w:val="a1"/>
    <w:uiPriority w:val="99"/>
    <w:unhideWhenUsed/>
    <w:rPr>
      <w:color w:val="0000FF" w:themeColor="hyperlink"/>
      <w:u w:val="single"/>
    </w:rPr>
  </w:style>
  <w:style w:type="paragraph" w:styleId="af6">
    <w:name w:val="table of figures"/>
    <w:basedOn w:val="a"/>
    <w:next w:val="a"/>
    <w:uiPriority w:val="99"/>
    <w:unhideWhenUsed/>
    <w:pPr>
      <w:spacing w:after="60" w:line="240" w:lineRule="auto"/>
    </w:pPr>
  </w:style>
  <w:style w:type="paragraph" w:styleId="af7">
    <w:name w:val="caption"/>
    <w:basedOn w:val="a"/>
    <w:next w:val="a0"/>
    <w:uiPriority w:val="35"/>
    <w:unhideWhenUsed/>
    <w:qFormat/>
    <w:rsid w:val="00AA0ECD"/>
    <w:pPr>
      <w:keepNext/>
      <w:spacing w:before="360" w:after="120" w:line="240" w:lineRule="auto"/>
    </w:pPr>
    <w:rPr>
      <w:rFonts w:ascii="Calibri" w:hAnsi="Calibri"/>
      <w:b/>
      <w:bCs/>
      <w:sz w:val="18"/>
      <w:szCs w:val="18"/>
    </w:rPr>
  </w:style>
  <w:style w:type="paragraph" w:styleId="af8">
    <w:name w:val="List Paragraph"/>
    <w:aliases w:val="List Paragraph (numbered (a)),List Paragraph1,WB Para"/>
    <w:basedOn w:val="a"/>
    <w:link w:val="af9"/>
    <w:uiPriority w:val="34"/>
    <w:qFormat/>
    <w:pPr>
      <w:ind w:left="720"/>
      <w:contextualSpacing/>
    </w:pPr>
  </w:style>
  <w:style w:type="character" w:customStyle="1" w:styleId="af9">
    <w:name w:val="Абзац списка Знак"/>
    <w:aliases w:val="List Paragraph (numbered (a)) Знак,List Paragraph1 Знак,WB Para Знак"/>
    <w:basedOn w:val="a1"/>
    <w:link w:val="af8"/>
    <w:uiPriority w:val="34"/>
    <w:rPr>
      <w:rFonts w:ascii="Times" w:hAnsi="Times"/>
      <w:sz w:val="22"/>
      <w:szCs w:val="24"/>
    </w:rPr>
  </w:style>
  <w:style w:type="paragraph" w:customStyle="1" w:styleId="AnnexCoverHeading">
    <w:name w:val="Annex Cover Heading"/>
    <w:basedOn w:val="1"/>
    <w:next w:val="AnnexCoverSubHeading"/>
    <w:link w:val="AnnexCoverHeadingChar"/>
    <w:pPr>
      <w:numPr>
        <w:numId w:val="3"/>
      </w:numPr>
      <w:jc w:val="right"/>
    </w:pPr>
    <w:rPr>
      <w:color w:val="002060"/>
      <w:sz w:val="72"/>
      <w:szCs w:val="72"/>
    </w:rPr>
  </w:style>
  <w:style w:type="character" w:customStyle="1" w:styleId="AnnexCoverHeadingChar">
    <w:name w:val="Annex Cover Heading Char"/>
    <w:basedOn w:val="10"/>
    <w:link w:val="AnnexCoverHeading"/>
    <w:rPr>
      <w:rFonts w:ascii="Arial" w:eastAsia="Times New Roman" w:hAnsi="Arial" w:cs="Arial"/>
      <w:bCs/>
      <w:color w:val="002060"/>
      <w:kern w:val="32"/>
      <w:sz w:val="72"/>
      <w:szCs w:val="72"/>
      <w:lang w:bidi="en-US"/>
    </w:rPr>
  </w:style>
  <w:style w:type="paragraph" w:customStyle="1" w:styleId="MDFTableText">
    <w:name w:val="MDF TableText"/>
    <w:basedOn w:val="a"/>
    <w:link w:val="MDFTableTextChar"/>
    <w:pPr>
      <w:widowControl w:val="0"/>
      <w:tabs>
        <w:tab w:val="left" w:pos="220"/>
      </w:tabs>
      <w:spacing w:after="0" w:line="240" w:lineRule="auto"/>
    </w:pPr>
    <w:rPr>
      <w:rFonts w:ascii="Arial Narrow" w:hAnsi="Arial Narrow"/>
      <w:sz w:val="18"/>
    </w:rPr>
  </w:style>
  <w:style w:type="character" w:customStyle="1" w:styleId="MDFTableTextChar">
    <w:name w:val="MDF TableText Char"/>
    <w:basedOn w:val="a1"/>
    <w:link w:val="MDFTableText"/>
    <w:rPr>
      <w:rFonts w:ascii="Arial Narrow" w:eastAsia="Times New Roman" w:hAnsi="Arial Narrow" w:cs="ArialMT"/>
      <w:sz w:val="18"/>
      <w:szCs w:val="24"/>
      <w:lang w:bidi="en-US"/>
    </w:rPr>
  </w:style>
  <w:style w:type="paragraph" w:customStyle="1" w:styleId="NumberedList">
    <w:name w:val="Numbered List"/>
    <w:basedOn w:val="a"/>
    <w:link w:val="NumberedListChar"/>
    <w:pPr>
      <w:widowControl w:val="0"/>
      <w:numPr>
        <w:numId w:val="2"/>
      </w:numPr>
      <w:tabs>
        <w:tab w:val="left" w:pos="220"/>
      </w:tabs>
      <w:spacing w:after="60" w:line="276" w:lineRule="auto"/>
      <w:ind w:left="714" w:hanging="357"/>
    </w:pPr>
  </w:style>
  <w:style w:type="character" w:customStyle="1" w:styleId="NumberedListChar">
    <w:name w:val="Numbered List Char"/>
    <w:basedOn w:val="a1"/>
    <w:link w:val="NumberedList"/>
    <w:rPr>
      <w:rFonts w:ascii="Helvetica" w:eastAsia="Times New Roman" w:hAnsi="Helvetica" w:cs="ArialMT"/>
      <w:sz w:val="22"/>
      <w:szCs w:val="22"/>
      <w:lang w:bidi="en-US"/>
    </w:rPr>
  </w:style>
  <w:style w:type="paragraph" w:customStyle="1" w:styleId="Mainbullet">
    <w:name w:val="Main bullet"/>
    <w:basedOn w:val="a"/>
    <w:link w:val="MainbulletChar"/>
    <w:pPr>
      <w:widowControl w:val="0"/>
      <w:spacing w:after="280" w:line="280" w:lineRule="atLeast"/>
      <w:ind w:left="720" w:hanging="648"/>
      <w:jc w:val="both"/>
    </w:pPr>
  </w:style>
  <w:style w:type="character" w:customStyle="1" w:styleId="MainbulletChar">
    <w:name w:val="Main bullet Char"/>
    <w:basedOn w:val="a1"/>
    <w:link w:val="Mainbullet"/>
    <w:rPr>
      <w:rFonts w:ascii="Times" w:eastAsia="Times New Roman" w:hAnsi="Times" w:cs="ArialMT"/>
      <w:sz w:val="22"/>
      <w:szCs w:val="22"/>
      <w:lang w:bidi="en-US"/>
    </w:rPr>
  </w:style>
  <w:style w:type="paragraph" w:customStyle="1" w:styleId="Sub-Bullets">
    <w:name w:val="Sub-Bullets"/>
    <w:basedOn w:val="af8"/>
    <w:link w:val="Sub-BulletsChar"/>
    <w:pPr>
      <w:spacing w:line="276" w:lineRule="auto"/>
      <w:ind w:hanging="360"/>
    </w:pPr>
  </w:style>
  <w:style w:type="character" w:customStyle="1" w:styleId="Sub-BulletsChar">
    <w:name w:val="Sub-Bullets Char"/>
    <w:basedOn w:val="af9"/>
    <w:link w:val="Sub-Bullets"/>
    <w:rPr>
      <w:rFonts w:ascii="Times" w:hAnsi="Times"/>
      <w:sz w:val="22"/>
      <w:szCs w:val="24"/>
      <w:lang w:bidi="en-US"/>
    </w:rPr>
  </w:style>
  <w:style w:type="paragraph" w:customStyle="1" w:styleId="Figure">
    <w:name w:val="Figure"/>
    <w:basedOn w:val="5"/>
    <w:link w:val="FigureChar"/>
    <w:pPr>
      <w:jc w:val="center"/>
    </w:pPr>
  </w:style>
  <w:style w:type="character" w:customStyle="1" w:styleId="FigureChar">
    <w:name w:val="Figure Char"/>
    <w:basedOn w:val="50"/>
    <w:link w:val="Figure"/>
    <w:rPr>
      <w:rFonts w:ascii="Arial Narrow" w:hAnsi="Arial Narrow"/>
      <w:b/>
      <w:color w:val="003366"/>
      <w:sz w:val="26"/>
      <w:szCs w:val="26"/>
    </w:rPr>
  </w:style>
  <w:style w:type="paragraph" w:customStyle="1" w:styleId="ReportTitle">
    <w:name w:val="Report Title"/>
    <w:basedOn w:val="a"/>
    <w:link w:val="ReportTitleChar"/>
    <w:rPr>
      <w:rFonts w:ascii="Arial Narrow" w:hAnsi="Arial Narrow"/>
      <w:b/>
      <w:color w:val="00B16B" w:themeColor="text2"/>
      <w:sz w:val="72"/>
    </w:rPr>
  </w:style>
  <w:style w:type="character" w:customStyle="1" w:styleId="ReportTitleChar">
    <w:name w:val="Report Title Char"/>
    <w:basedOn w:val="a1"/>
    <w:link w:val="ReportTitle"/>
    <w:rPr>
      <w:rFonts w:ascii="Arial Narrow" w:hAnsi="Arial Narrow"/>
      <w:b/>
      <w:color w:val="00B16B" w:themeColor="text2"/>
      <w:sz w:val="72"/>
      <w:szCs w:val="24"/>
    </w:rPr>
  </w:style>
  <w:style w:type="paragraph" w:customStyle="1" w:styleId="ReportSub-Title">
    <w:name w:val="Report Sub-Title"/>
    <w:basedOn w:val="a"/>
    <w:link w:val="ReportSub-TitleChar"/>
    <w:rPr>
      <w:rFonts w:ascii="Arial Narrow" w:hAnsi="Arial Narrow"/>
      <w:color w:val="0B3066"/>
      <w:sz w:val="40"/>
    </w:rPr>
  </w:style>
  <w:style w:type="character" w:customStyle="1" w:styleId="ReportSub-TitleChar">
    <w:name w:val="Report Sub-Title Char"/>
    <w:basedOn w:val="a1"/>
    <w:link w:val="ReportSub-Title"/>
    <w:rPr>
      <w:rFonts w:ascii="Arial Narrow" w:hAnsi="Arial Narrow"/>
      <w:color w:val="0B3066"/>
      <w:sz w:val="40"/>
      <w:szCs w:val="24"/>
    </w:rPr>
  </w:style>
  <w:style w:type="table" w:styleId="-11">
    <w:name w:val="Grid Table 1 Light Accent 1"/>
    <w:basedOn w:val="a2"/>
    <w:uiPriority w:val="46"/>
    <w:rsid w:val="00AB2030"/>
    <w:tblPr>
      <w:tblStyleRowBandSize w:val="1"/>
      <w:tblStyleColBandSize w:val="1"/>
      <w:tblBorders>
        <w:top w:val="single" w:sz="4" w:space="0" w:color="FFE59E" w:themeColor="accent1" w:themeTint="66"/>
        <w:left w:val="single" w:sz="4" w:space="0" w:color="FFE59E" w:themeColor="accent1" w:themeTint="66"/>
        <w:bottom w:val="single" w:sz="4" w:space="0" w:color="FFE59E" w:themeColor="accent1" w:themeTint="66"/>
        <w:right w:val="single" w:sz="4" w:space="0" w:color="FFE59E" w:themeColor="accent1" w:themeTint="66"/>
        <w:insideH w:val="single" w:sz="4" w:space="0" w:color="FFE59E" w:themeColor="accent1" w:themeTint="66"/>
        <w:insideV w:val="single" w:sz="4" w:space="0" w:color="FFE59E" w:themeColor="accent1" w:themeTint="66"/>
      </w:tblBorders>
    </w:tblPr>
    <w:tblStylePr w:type="firstRow">
      <w:rPr>
        <w:b/>
        <w:bCs/>
      </w:rPr>
      <w:tblPr/>
      <w:tcPr>
        <w:tcBorders>
          <w:bottom w:val="single" w:sz="12" w:space="0" w:color="FFD96E" w:themeColor="accent1" w:themeTint="99"/>
        </w:tcBorders>
      </w:tcPr>
    </w:tblStylePr>
    <w:tblStylePr w:type="lastRow">
      <w:rPr>
        <w:b/>
        <w:bCs/>
      </w:rPr>
      <w:tblPr/>
      <w:tcPr>
        <w:tcBorders>
          <w:top w:val="double" w:sz="2" w:space="0" w:color="FFD96E" w:themeColor="accent1" w:themeTint="99"/>
        </w:tcBorders>
      </w:tcPr>
    </w:tblStylePr>
    <w:tblStylePr w:type="firstCol">
      <w:rPr>
        <w:b/>
        <w:bCs/>
      </w:rPr>
    </w:tblStylePr>
    <w:tblStylePr w:type="lastCol">
      <w:rPr>
        <w:b/>
        <w:bCs/>
      </w:rPr>
    </w:tblStylePr>
  </w:style>
  <w:style w:type="table" w:styleId="-13">
    <w:name w:val="Grid Table 1 Light Accent 3"/>
    <w:basedOn w:val="a2"/>
    <w:uiPriority w:val="46"/>
    <w:rsid w:val="00AB2030"/>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TableofContentsTitle">
    <w:name w:val="Table of Contents Title"/>
    <w:basedOn w:val="a"/>
    <w:next w:val="a"/>
    <w:link w:val="TableofContentsTitleChar"/>
    <w:pPr>
      <w:keepNext/>
      <w:widowControl w:val="0"/>
      <w:spacing w:line="240" w:lineRule="auto"/>
      <w:jc w:val="both"/>
    </w:pPr>
    <w:rPr>
      <w:rFonts w:ascii="Arial Narrow" w:hAnsi="Arial Narrow"/>
      <w:b/>
      <w:color w:val="0B3066"/>
      <w:sz w:val="40"/>
    </w:rPr>
  </w:style>
  <w:style w:type="character" w:customStyle="1" w:styleId="TableofContentsTitleChar">
    <w:name w:val="Table of Contents Title Char"/>
    <w:basedOn w:val="a1"/>
    <w:link w:val="TableofContentsTitle"/>
    <w:rPr>
      <w:rFonts w:ascii="Arial Narrow" w:eastAsia="Times New Roman" w:hAnsi="Arial Narrow" w:cs="ArialMT"/>
      <w:b/>
      <w:color w:val="0B3066"/>
      <w:sz w:val="40"/>
      <w:szCs w:val="22"/>
      <w:lang w:bidi="en-US"/>
    </w:rPr>
  </w:style>
  <w:style w:type="paragraph" w:customStyle="1" w:styleId="Bullet1">
    <w:name w:val="Bullet 1"/>
    <w:basedOn w:val="ab"/>
    <w:link w:val="Bullet1Char"/>
    <w:qFormat/>
    <w:rsid w:val="00496056"/>
    <w:pPr>
      <w:numPr>
        <w:numId w:val="4"/>
      </w:numPr>
      <w:spacing w:after="120" w:line="276" w:lineRule="auto"/>
    </w:pPr>
  </w:style>
  <w:style w:type="character" w:customStyle="1" w:styleId="Bullet1Char">
    <w:name w:val="Bullet 1 Char"/>
    <w:basedOn w:val="ac"/>
    <w:link w:val="Bullet1"/>
    <w:rsid w:val="00496056"/>
    <w:rPr>
      <w:rFonts w:ascii="Helvetica" w:eastAsia="Times New Roman" w:hAnsi="Helvetica" w:cs="ArialMT"/>
      <w:sz w:val="22"/>
      <w:szCs w:val="22"/>
      <w:lang w:bidi="en-US"/>
    </w:rPr>
  </w:style>
  <w:style w:type="paragraph" w:customStyle="1" w:styleId="Bullet2">
    <w:name w:val="Bullet 2"/>
    <w:basedOn w:val="af8"/>
    <w:link w:val="Bullet2Char"/>
    <w:qFormat/>
    <w:rsid w:val="00496056"/>
    <w:pPr>
      <w:numPr>
        <w:numId w:val="5"/>
      </w:numPr>
      <w:spacing w:after="60" w:line="276" w:lineRule="auto"/>
      <w:contextualSpacing w:val="0"/>
    </w:pPr>
  </w:style>
  <w:style w:type="character" w:customStyle="1" w:styleId="Bullet2Char">
    <w:name w:val="Bullet 2 Char"/>
    <w:basedOn w:val="af9"/>
    <w:link w:val="Bullet2"/>
    <w:rsid w:val="00496056"/>
    <w:rPr>
      <w:rFonts w:ascii="Helvetica" w:eastAsia="Times New Roman" w:hAnsi="Helvetica" w:cs="ArialMT"/>
      <w:sz w:val="22"/>
      <w:szCs w:val="22"/>
      <w:lang w:bidi="en-US"/>
    </w:rPr>
  </w:style>
  <w:style w:type="paragraph" w:customStyle="1" w:styleId="MDFTableHeader">
    <w:name w:val="MDF Table Header"/>
    <w:basedOn w:val="MDFTableText"/>
    <w:pPr>
      <w:spacing w:before="80" w:after="80"/>
      <w:jc w:val="center"/>
    </w:pPr>
    <w:rPr>
      <w:b/>
    </w:rPr>
  </w:style>
  <w:style w:type="paragraph" w:customStyle="1" w:styleId="MDFTableNumber">
    <w:name w:val="MDF Table Number"/>
    <w:basedOn w:val="MDFTableText"/>
    <w:pPr>
      <w:ind w:right="113"/>
      <w:jc w:val="right"/>
    </w:pPr>
  </w:style>
  <w:style w:type="table" w:styleId="-1">
    <w:name w:val="Light Shading Accent 1"/>
    <w:basedOn w:val="a2"/>
    <w:uiPriority w:val="60"/>
    <w:rsid w:val="001C744B"/>
    <w:rPr>
      <w:color w:val="C99500" w:themeColor="accent1" w:themeShade="BF"/>
    </w:rPr>
    <w:tblPr>
      <w:tblStyleRowBandSize w:val="1"/>
      <w:tblStyleColBandSize w:val="1"/>
      <w:tblBorders>
        <w:top w:val="single" w:sz="8" w:space="0" w:color="FFC10E" w:themeColor="accent1"/>
        <w:bottom w:val="single" w:sz="8" w:space="0" w:color="FFC10E" w:themeColor="accent1"/>
      </w:tblBorders>
    </w:tblPr>
    <w:tblStylePr w:type="firstRow">
      <w:pPr>
        <w:spacing w:before="0" w:after="0" w:line="240" w:lineRule="auto"/>
      </w:pPr>
      <w:rPr>
        <w:b/>
        <w:bCs/>
      </w:rPr>
      <w:tblPr/>
      <w:tcPr>
        <w:tcBorders>
          <w:top w:val="single" w:sz="8" w:space="0" w:color="FFC10E" w:themeColor="accent1"/>
          <w:left w:val="nil"/>
          <w:bottom w:val="single" w:sz="8" w:space="0" w:color="FFC10E" w:themeColor="accent1"/>
          <w:right w:val="nil"/>
          <w:insideH w:val="nil"/>
          <w:insideV w:val="nil"/>
        </w:tcBorders>
      </w:tcPr>
    </w:tblStylePr>
    <w:tblStylePr w:type="lastRow">
      <w:pPr>
        <w:spacing w:before="0" w:after="0" w:line="240" w:lineRule="auto"/>
      </w:pPr>
      <w:rPr>
        <w:b/>
        <w:bCs/>
      </w:rPr>
      <w:tblPr/>
      <w:tcPr>
        <w:tcBorders>
          <w:top w:val="single" w:sz="8" w:space="0" w:color="FFC10E" w:themeColor="accent1"/>
          <w:left w:val="nil"/>
          <w:bottom w:val="single" w:sz="8" w:space="0" w:color="FFC10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3" w:themeFill="accent1" w:themeFillTint="3F"/>
      </w:tcPr>
    </w:tblStylePr>
    <w:tblStylePr w:type="band1Horz">
      <w:tblPr/>
      <w:tcPr>
        <w:tcBorders>
          <w:left w:val="nil"/>
          <w:right w:val="nil"/>
          <w:insideH w:val="nil"/>
          <w:insideV w:val="nil"/>
        </w:tcBorders>
        <w:shd w:val="clear" w:color="auto" w:fill="FFEFC3" w:themeFill="accent1" w:themeFillTint="3F"/>
      </w:tcPr>
    </w:tblStylePr>
  </w:style>
  <w:style w:type="paragraph" w:customStyle="1" w:styleId="MDFBoxtext">
    <w:name w:val="MDF Box text"/>
    <w:basedOn w:val="MDFTableText"/>
    <w:pPr>
      <w:spacing w:after="80"/>
    </w:pPr>
    <w:rPr>
      <w:rFonts w:ascii="Times New Roman" w:hAnsi="Times New Roman"/>
      <w:sz w:val="22"/>
    </w:rPr>
  </w:style>
  <w:style w:type="paragraph" w:customStyle="1" w:styleId="AnnexCoverSubHeading">
    <w:name w:val="Annex Cover Sub Heading"/>
    <w:pPr>
      <w:spacing w:before="360"/>
      <w:jc w:val="right"/>
    </w:pPr>
    <w:rPr>
      <w:rFonts w:ascii="Arial Narrow" w:hAnsi="Arial Narrow"/>
      <w:b/>
      <w:color w:val="002060"/>
      <w:kern w:val="32"/>
      <w:sz w:val="44"/>
      <w:szCs w:val="44"/>
      <w:lang w:bidi="en-US"/>
    </w:rPr>
  </w:style>
  <w:style w:type="table" w:styleId="81">
    <w:name w:val="Table Grid 8"/>
    <w:basedOn w:val="a2"/>
    <w:uiPriority w:val="99"/>
    <w:semiHidden/>
    <w:unhideWhenUsed/>
    <w:rsid w:val="00055B7F"/>
    <w:pPr>
      <w:spacing w:after="200" w:line="36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2">
    <w:name w:val="Light Shading Accent 2"/>
    <w:basedOn w:val="a2"/>
    <w:uiPriority w:val="60"/>
    <w:rsid w:val="001C744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2"/>
    <w:uiPriority w:val="60"/>
    <w:rsid w:val="001C744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OUTable">
    <w:name w:val="OU Table"/>
    <w:basedOn w:val="81"/>
    <w:uiPriority w:val="99"/>
    <w:rsid w:val="00360226"/>
    <w:rPr>
      <w:rFonts w:ascii="Calibri" w:hAnsi="Calibri"/>
    </w:rPr>
    <w:tblPr>
      <w:tblBorders>
        <w:top w:val="single" w:sz="6" w:space="0" w:color="FF0000"/>
        <w:left w:val="single" w:sz="6" w:space="0" w:color="FF0000"/>
        <w:bottom w:val="single" w:sz="6" w:space="0" w:color="FF0000"/>
        <w:right w:val="single" w:sz="6" w:space="0" w:color="FF0000"/>
        <w:insideH w:val="single" w:sz="6" w:space="0" w:color="FF0000"/>
        <w:insideV w:val="single" w:sz="6" w:space="0" w:color="FF0000"/>
      </w:tblBorders>
    </w:tblPr>
    <w:tcPr>
      <w:vAlign w:val="center"/>
    </w:tcPr>
    <w:tblStylePr w:type="firstRow">
      <w:rPr>
        <w:rFonts w:ascii="Calibri" w:hAnsi="Calibri"/>
        <w:b/>
        <w:bCs/>
        <w:i w:val="0"/>
        <w:color w:val="FFFFFF"/>
        <w:sz w:val="22"/>
      </w:rPr>
      <w:tblPr/>
      <w:tcPr>
        <w:tcBorders>
          <w:tl2br w:val="none" w:sz="0" w:space="0" w:color="auto"/>
          <w:tr2bl w:val="none" w:sz="0" w:space="0" w:color="auto"/>
        </w:tcBorders>
        <w:shd w:val="clear" w:color="auto" w:fill="FF0000"/>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4">
    <w:name w:val="Grid Table 1 Light Accent 4"/>
    <w:basedOn w:val="a2"/>
    <w:uiPriority w:val="46"/>
    <w:rsid w:val="00AB2030"/>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16">
    <w:name w:val="List Table 1 Light Accent 6"/>
    <w:basedOn w:val="a2"/>
    <w:uiPriority w:val="46"/>
    <w:rsid w:val="00531CC4"/>
    <w:rPr>
      <w:rFonts w:asciiTheme="minorHAnsi" w:eastAsiaTheme="minorHAnsi" w:hAnsiTheme="minorHAnsi" w:cstheme="minorBidi"/>
      <w:color w:val="1576E4" w:themeColor="text1" w:themeTint="BF"/>
      <w:lang w:eastAsia="ja-JP"/>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15">
    <w:name w:val="List Table 1 Light Accent 5"/>
    <w:basedOn w:val="a2"/>
    <w:uiPriority w:val="46"/>
    <w:rsid w:val="00A54E77"/>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12">
    <w:name w:val="toc 1"/>
    <w:basedOn w:val="a"/>
    <w:next w:val="a"/>
    <w:autoRedefine/>
    <w:uiPriority w:val="39"/>
    <w:unhideWhenUsed/>
    <w:rsid w:val="00BB1DA3"/>
    <w:pPr>
      <w:tabs>
        <w:tab w:val="right" w:leader="dot" w:pos="9054"/>
      </w:tabs>
      <w:spacing w:before="120" w:after="0"/>
    </w:pPr>
    <w:rPr>
      <w:b/>
      <w:bCs/>
      <w:noProof/>
    </w:rPr>
  </w:style>
  <w:style w:type="paragraph" w:styleId="22">
    <w:name w:val="toc 2"/>
    <w:basedOn w:val="a"/>
    <w:next w:val="a"/>
    <w:autoRedefine/>
    <w:uiPriority w:val="39"/>
    <w:unhideWhenUsed/>
    <w:rsid w:val="009721B3"/>
    <w:pPr>
      <w:spacing w:before="120" w:after="0"/>
      <w:ind w:left="220"/>
    </w:pPr>
    <w:rPr>
      <w:rFonts w:asciiTheme="minorHAnsi" w:hAnsiTheme="minorHAnsi"/>
      <w:b/>
      <w:bCs/>
    </w:rPr>
  </w:style>
  <w:style w:type="character" w:styleId="afa">
    <w:name w:val="Unresolved Mention"/>
    <w:basedOn w:val="a1"/>
    <w:uiPriority w:val="99"/>
    <w:rsid w:val="00965ACE"/>
    <w:rPr>
      <w:color w:val="605E5C"/>
      <w:shd w:val="clear" w:color="auto" w:fill="E1DFDD"/>
    </w:rPr>
  </w:style>
  <w:style w:type="character" w:customStyle="1" w:styleId="21">
    <w:name w:val="Заголовок 2 Знак"/>
    <w:basedOn w:val="a1"/>
    <w:link w:val="20"/>
    <w:rsid w:val="00D60F5F"/>
    <w:rPr>
      <w:rFonts w:ascii="Arial" w:eastAsia="Times New Roman" w:hAnsi="Arial" w:cs="Arial"/>
      <w:bCs/>
      <w:color w:val="098435"/>
      <w:sz w:val="32"/>
      <w:szCs w:val="32"/>
      <w:lang w:bidi="en-US"/>
    </w:rPr>
  </w:style>
  <w:style w:type="paragraph" w:styleId="afb">
    <w:name w:val="footnote text"/>
    <w:aliases w:val="Footnote Text Char,fn,ADB,single space,footnote text Char,fn Char,ADB Char,single space Char Char,Fußnotentextf,FOOTNOTES,Geneva 9,Font: Geneva 9,Boston 10,f,Footnote Text 1,Footnote Text Char Char Char,Char,ALTS FOOTNO,footnote text"/>
    <w:basedOn w:val="a"/>
    <w:link w:val="afc"/>
    <w:uiPriority w:val="99"/>
    <w:unhideWhenUsed/>
    <w:rsid w:val="003272DA"/>
    <w:pPr>
      <w:spacing w:after="0" w:line="240" w:lineRule="auto"/>
    </w:pPr>
    <w:rPr>
      <w:sz w:val="20"/>
      <w:szCs w:val="20"/>
    </w:rPr>
  </w:style>
  <w:style w:type="character" w:customStyle="1" w:styleId="afc">
    <w:name w:val="Текст сноски Знак"/>
    <w:aliases w:val="Footnote Text Char Знак,fn Знак,ADB Знак,single space Знак,footnote text Char Знак,fn Char Знак,ADB Char Знак,single space Char Char Знак,Fußnotentextf Знак,FOOTNOTES Знак,Geneva 9 Знак,Font: Geneva 9 Знак,Boston 10 Знак,f Знак"/>
    <w:basedOn w:val="a1"/>
    <w:link w:val="afb"/>
    <w:uiPriority w:val="99"/>
    <w:rsid w:val="003272DA"/>
    <w:rPr>
      <w:rFonts w:ascii="Helvetica" w:eastAsia="Times New Roman" w:hAnsi="Helvetica" w:cs="ArialMT"/>
      <w:lang w:bidi="en-US"/>
    </w:rPr>
  </w:style>
  <w:style w:type="character" w:styleId="afd">
    <w:name w:val="footnote reference"/>
    <w:aliases w:val="16 Point,Superscript 6 Point,ftref"/>
    <w:basedOn w:val="a1"/>
    <w:uiPriority w:val="99"/>
    <w:unhideWhenUsed/>
    <w:rsid w:val="003272DA"/>
    <w:rPr>
      <w:vertAlign w:val="superscript"/>
    </w:rPr>
  </w:style>
  <w:style w:type="character" w:customStyle="1" w:styleId="30">
    <w:name w:val="Заголовок 3 Знак"/>
    <w:basedOn w:val="a1"/>
    <w:link w:val="3"/>
    <w:rsid w:val="00187E0A"/>
    <w:rPr>
      <w:rFonts w:ascii="Arial" w:eastAsia="Times New Roman" w:hAnsi="Arial" w:cs="Arial"/>
      <w:bCs/>
      <w:sz w:val="28"/>
      <w:szCs w:val="28"/>
      <w:lang w:bidi="en-US"/>
    </w:rPr>
  </w:style>
  <w:style w:type="character" w:customStyle="1" w:styleId="40">
    <w:name w:val="Заголовок 4 Знак"/>
    <w:basedOn w:val="a1"/>
    <w:link w:val="4"/>
    <w:rsid w:val="006949B3"/>
    <w:rPr>
      <w:rFonts w:ascii="Arial" w:eastAsia="Times New Roman" w:hAnsi="Arial" w:cs="Arial"/>
      <w:bCs/>
      <w:iCs/>
      <w:sz w:val="26"/>
      <w:szCs w:val="26"/>
      <w:lang w:bidi="en-US"/>
    </w:rPr>
  </w:style>
  <w:style w:type="character" w:styleId="afe">
    <w:name w:val="annotation reference"/>
    <w:basedOn w:val="a1"/>
    <w:uiPriority w:val="99"/>
    <w:semiHidden/>
    <w:unhideWhenUsed/>
    <w:rsid w:val="001A3610"/>
    <w:rPr>
      <w:sz w:val="16"/>
      <w:szCs w:val="16"/>
    </w:rPr>
  </w:style>
  <w:style w:type="paragraph" w:styleId="aff">
    <w:name w:val="annotation text"/>
    <w:basedOn w:val="a"/>
    <w:link w:val="aff0"/>
    <w:uiPriority w:val="99"/>
    <w:unhideWhenUsed/>
    <w:rsid w:val="001A3610"/>
    <w:pPr>
      <w:spacing w:line="240" w:lineRule="auto"/>
    </w:pPr>
    <w:rPr>
      <w:sz w:val="20"/>
      <w:szCs w:val="20"/>
    </w:rPr>
  </w:style>
  <w:style w:type="character" w:customStyle="1" w:styleId="aff0">
    <w:name w:val="Текст примечания Знак"/>
    <w:basedOn w:val="a1"/>
    <w:link w:val="aff"/>
    <w:uiPriority w:val="99"/>
    <w:rsid w:val="001A3610"/>
    <w:rPr>
      <w:rFonts w:ascii="Helvetica" w:eastAsia="Times New Roman" w:hAnsi="Helvetica" w:cs="ArialMT"/>
      <w:lang w:bidi="en-US"/>
    </w:rPr>
  </w:style>
  <w:style w:type="paragraph" w:styleId="aff1">
    <w:name w:val="annotation subject"/>
    <w:basedOn w:val="aff"/>
    <w:next w:val="aff"/>
    <w:link w:val="aff2"/>
    <w:uiPriority w:val="99"/>
    <w:semiHidden/>
    <w:unhideWhenUsed/>
    <w:rsid w:val="001A3610"/>
    <w:rPr>
      <w:b/>
      <w:bCs/>
    </w:rPr>
  </w:style>
  <w:style w:type="character" w:customStyle="1" w:styleId="aff2">
    <w:name w:val="Тема примечания Знак"/>
    <w:basedOn w:val="aff0"/>
    <w:link w:val="aff1"/>
    <w:uiPriority w:val="99"/>
    <w:semiHidden/>
    <w:rsid w:val="001A3610"/>
    <w:rPr>
      <w:rFonts w:ascii="Helvetica" w:eastAsia="Times New Roman" w:hAnsi="Helvetica" w:cs="ArialMT"/>
      <w:b/>
      <w:bCs/>
      <w:lang w:bidi="en-US"/>
    </w:rPr>
  </w:style>
  <w:style w:type="paragraph" w:styleId="aff3">
    <w:name w:val="Revision"/>
    <w:hidden/>
    <w:uiPriority w:val="99"/>
    <w:semiHidden/>
    <w:rsid w:val="00353E57"/>
    <w:rPr>
      <w:rFonts w:ascii="Helvetica" w:eastAsia="Times New Roman" w:hAnsi="Helvetica" w:cs="ArialMT"/>
      <w:sz w:val="22"/>
      <w:szCs w:val="22"/>
      <w:lang w:bidi="en-US"/>
    </w:rPr>
  </w:style>
  <w:style w:type="paragraph" w:styleId="aff4">
    <w:name w:val="Normal (Web)"/>
    <w:basedOn w:val="a"/>
    <w:uiPriority w:val="99"/>
    <w:unhideWhenUsed/>
    <w:rsid w:val="00D44EB7"/>
    <w:pPr>
      <w:autoSpaceDE/>
      <w:autoSpaceDN/>
      <w:adjustRightInd/>
      <w:spacing w:before="100" w:beforeAutospacing="1" w:after="100" w:afterAutospacing="1" w:line="240" w:lineRule="auto"/>
    </w:pPr>
    <w:rPr>
      <w:rFonts w:ascii="Times New Roman" w:hAnsi="Times New Roman" w:cs="Times New Roman"/>
      <w:sz w:val="24"/>
      <w:szCs w:val="24"/>
      <w:lang w:bidi="ar-SA"/>
    </w:rPr>
  </w:style>
  <w:style w:type="character" w:styleId="aff5">
    <w:name w:val="Strong"/>
    <w:basedOn w:val="a1"/>
    <w:uiPriority w:val="22"/>
    <w:qFormat/>
    <w:rsid w:val="002F10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030887">
      <w:bodyDiv w:val="1"/>
      <w:marLeft w:val="0"/>
      <w:marRight w:val="0"/>
      <w:marTop w:val="0"/>
      <w:marBottom w:val="0"/>
      <w:divBdr>
        <w:top w:val="none" w:sz="0" w:space="0" w:color="auto"/>
        <w:left w:val="none" w:sz="0" w:space="0" w:color="auto"/>
        <w:bottom w:val="none" w:sz="0" w:space="0" w:color="auto"/>
        <w:right w:val="none" w:sz="0" w:space="0" w:color="auto"/>
      </w:divBdr>
    </w:div>
    <w:div w:id="211506764">
      <w:bodyDiv w:val="1"/>
      <w:marLeft w:val="0"/>
      <w:marRight w:val="0"/>
      <w:marTop w:val="0"/>
      <w:marBottom w:val="0"/>
      <w:divBdr>
        <w:top w:val="none" w:sz="0" w:space="0" w:color="auto"/>
        <w:left w:val="none" w:sz="0" w:space="0" w:color="auto"/>
        <w:bottom w:val="none" w:sz="0" w:space="0" w:color="auto"/>
        <w:right w:val="none" w:sz="0" w:space="0" w:color="auto"/>
      </w:divBdr>
    </w:div>
    <w:div w:id="623661661">
      <w:bodyDiv w:val="1"/>
      <w:marLeft w:val="0"/>
      <w:marRight w:val="0"/>
      <w:marTop w:val="0"/>
      <w:marBottom w:val="0"/>
      <w:divBdr>
        <w:top w:val="none" w:sz="0" w:space="0" w:color="auto"/>
        <w:left w:val="none" w:sz="0" w:space="0" w:color="auto"/>
        <w:bottom w:val="none" w:sz="0" w:space="0" w:color="auto"/>
        <w:right w:val="none" w:sz="0" w:space="0" w:color="auto"/>
      </w:divBdr>
    </w:div>
    <w:div w:id="724527910">
      <w:bodyDiv w:val="1"/>
      <w:marLeft w:val="0"/>
      <w:marRight w:val="0"/>
      <w:marTop w:val="0"/>
      <w:marBottom w:val="0"/>
      <w:divBdr>
        <w:top w:val="none" w:sz="0" w:space="0" w:color="auto"/>
        <w:left w:val="none" w:sz="0" w:space="0" w:color="auto"/>
        <w:bottom w:val="none" w:sz="0" w:space="0" w:color="auto"/>
        <w:right w:val="none" w:sz="0" w:space="0" w:color="auto"/>
      </w:divBdr>
    </w:div>
    <w:div w:id="732895094">
      <w:bodyDiv w:val="1"/>
      <w:marLeft w:val="0"/>
      <w:marRight w:val="0"/>
      <w:marTop w:val="0"/>
      <w:marBottom w:val="0"/>
      <w:divBdr>
        <w:top w:val="none" w:sz="0" w:space="0" w:color="auto"/>
        <w:left w:val="none" w:sz="0" w:space="0" w:color="auto"/>
        <w:bottom w:val="none" w:sz="0" w:space="0" w:color="auto"/>
        <w:right w:val="none" w:sz="0" w:space="0" w:color="auto"/>
      </w:divBdr>
    </w:div>
    <w:div w:id="775758832">
      <w:bodyDiv w:val="1"/>
      <w:marLeft w:val="0"/>
      <w:marRight w:val="0"/>
      <w:marTop w:val="0"/>
      <w:marBottom w:val="0"/>
      <w:divBdr>
        <w:top w:val="none" w:sz="0" w:space="0" w:color="auto"/>
        <w:left w:val="none" w:sz="0" w:space="0" w:color="auto"/>
        <w:bottom w:val="none" w:sz="0" w:space="0" w:color="auto"/>
        <w:right w:val="none" w:sz="0" w:space="0" w:color="auto"/>
      </w:divBdr>
    </w:div>
    <w:div w:id="857475428">
      <w:bodyDiv w:val="1"/>
      <w:marLeft w:val="0"/>
      <w:marRight w:val="0"/>
      <w:marTop w:val="0"/>
      <w:marBottom w:val="0"/>
      <w:divBdr>
        <w:top w:val="none" w:sz="0" w:space="0" w:color="auto"/>
        <w:left w:val="none" w:sz="0" w:space="0" w:color="auto"/>
        <w:bottom w:val="none" w:sz="0" w:space="0" w:color="auto"/>
        <w:right w:val="none" w:sz="0" w:space="0" w:color="auto"/>
      </w:divBdr>
    </w:div>
    <w:div w:id="871764910">
      <w:bodyDiv w:val="1"/>
      <w:marLeft w:val="0"/>
      <w:marRight w:val="0"/>
      <w:marTop w:val="0"/>
      <w:marBottom w:val="0"/>
      <w:divBdr>
        <w:top w:val="none" w:sz="0" w:space="0" w:color="auto"/>
        <w:left w:val="none" w:sz="0" w:space="0" w:color="auto"/>
        <w:bottom w:val="none" w:sz="0" w:space="0" w:color="auto"/>
        <w:right w:val="none" w:sz="0" w:space="0" w:color="auto"/>
      </w:divBdr>
    </w:div>
    <w:div w:id="897713468">
      <w:bodyDiv w:val="1"/>
      <w:marLeft w:val="0"/>
      <w:marRight w:val="0"/>
      <w:marTop w:val="0"/>
      <w:marBottom w:val="0"/>
      <w:divBdr>
        <w:top w:val="none" w:sz="0" w:space="0" w:color="auto"/>
        <w:left w:val="none" w:sz="0" w:space="0" w:color="auto"/>
        <w:bottom w:val="none" w:sz="0" w:space="0" w:color="auto"/>
        <w:right w:val="none" w:sz="0" w:space="0" w:color="auto"/>
      </w:divBdr>
    </w:div>
    <w:div w:id="924341120">
      <w:bodyDiv w:val="1"/>
      <w:marLeft w:val="0"/>
      <w:marRight w:val="0"/>
      <w:marTop w:val="0"/>
      <w:marBottom w:val="0"/>
      <w:divBdr>
        <w:top w:val="none" w:sz="0" w:space="0" w:color="auto"/>
        <w:left w:val="none" w:sz="0" w:space="0" w:color="auto"/>
        <w:bottom w:val="none" w:sz="0" w:space="0" w:color="auto"/>
        <w:right w:val="none" w:sz="0" w:space="0" w:color="auto"/>
      </w:divBdr>
    </w:div>
    <w:div w:id="1243415573">
      <w:bodyDiv w:val="1"/>
      <w:marLeft w:val="0"/>
      <w:marRight w:val="0"/>
      <w:marTop w:val="0"/>
      <w:marBottom w:val="0"/>
      <w:divBdr>
        <w:top w:val="none" w:sz="0" w:space="0" w:color="auto"/>
        <w:left w:val="none" w:sz="0" w:space="0" w:color="auto"/>
        <w:bottom w:val="none" w:sz="0" w:space="0" w:color="auto"/>
        <w:right w:val="none" w:sz="0" w:space="0" w:color="auto"/>
      </w:divBdr>
    </w:div>
    <w:div w:id="1259369317">
      <w:bodyDiv w:val="1"/>
      <w:marLeft w:val="0"/>
      <w:marRight w:val="0"/>
      <w:marTop w:val="0"/>
      <w:marBottom w:val="0"/>
      <w:divBdr>
        <w:top w:val="none" w:sz="0" w:space="0" w:color="auto"/>
        <w:left w:val="none" w:sz="0" w:space="0" w:color="auto"/>
        <w:bottom w:val="none" w:sz="0" w:space="0" w:color="auto"/>
        <w:right w:val="none" w:sz="0" w:space="0" w:color="auto"/>
      </w:divBdr>
    </w:div>
    <w:div w:id="1277711574">
      <w:bodyDiv w:val="1"/>
      <w:marLeft w:val="0"/>
      <w:marRight w:val="0"/>
      <w:marTop w:val="0"/>
      <w:marBottom w:val="0"/>
      <w:divBdr>
        <w:top w:val="none" w:sz="0" w:space="0" w:color="auto"/>
        <w:left w:val="none" w:sz="0" w:space="0" w:color="auto"/>
        <w:bottom w:val="none" w:sz="0" w:space="0" w:color="auto"/>
        <w:right w:val="none" w:sz="0" w:space="0" w:color="auto"/>
      </w:divBdr>
    </w:div>
    <w:div w:id="1439060669">
      <w:bodyDiv w:val="1"/>
      <w:marLeft w:val="0"/>
      <w:marRight w:val="0"/>
      <w:marTop w:val="0"/>
      <w:marBottom w:val="0"/>
      <w:divBdr>
        <w:top w:val="none" w:sz="0" w:space="0" w:color="auto"/>
        <w:left w:val="none" w:sz="0" w:space="0" w:color="auto"/>
        <w:bottom w:val="none" w:sz="0" w:space="0" w:color="auto"/>
        <w:right w:val="none" w:sz="0" w:space="0" w:color="auto"/>
      </w:divBdr>
      <w:divsChild>
        <w:div w:id="614487710">
          <w:marLeft w:val="0"/>
          <w:marRight w:val="0"/>
          <w:marTop w:val="0"/>
          <w:marBottom w:val="0"/>
          <w:divBdr>
            <w:top w:val="none" w:sz="0" w:space="0" w:color="auto"/>
            <w:left w:val="none" w:sz="0" w:space="0" w:color="auto"/>
            <w:bottom w:val="none" w:sz="0" w:space="0" w:color="auto"/>
            <w:right w:val="none" w:sz="0" w:space="0" w:color="auto"/>
          </w:divBdr>
        </w:div>
        <w:div w:id="2115241507">
          <w:marLeft w:val="0"/>
          <w:marRight w:val="0"/>
          <w:marTop w:val="0"/>
          <w:marBottom w:val="0"/>
          <w:divBdr>
            <w:top w:val="none" w:sz="0" w:space="0" w:color="auto"/>
            <w:left w:val="none" w:sz="0" w:space="0" w:color="auto"/>
            <w:bottom w:val="none" w:sz="0" w:space="0" w:color="auto"/>
            <w:right w:val="none" w:sz="0" w:space="0" w:color="auto"/>
          </w:divBdr>
        </w:div>
        <w:div w:id="30107016">
          <w:marLeft w:val="0"/>
          <w:marRight w:val="0"/>
          <w:marTop w:val="0"/>
          <w:marBottom w:val="0"/>
          <w:divBdr>
            <w:top w:val="none" w:sz="0" w:space="0" w:color="auto"/>
            <w:left w:val="none" w:sz="0" w:space="0" w:color="auto"/>
            <w:bottom w:val="none" w:sz="0" w:space="0" w:color="auto"/>
            <w:right w:val="none" w:sz="0" w:space="0" w:color="auto"/>
          </w:divBdr>
        </w:div>
        <w:div w:id="976032918">
          <w:marLeft w:val="0"/>
          <w:marRight w:val="0"/>
          <w:marTop w:val="0"/>
          <w:marBottom w:val="0"/>
          <w:divBdr>
            <w:top w:val="none" w:sz="0" w:space="0" w:color="auto"/>
            <w:left w:val="none" w:sz="0" w:space="0" w:color="auto"/>
            <w:bottom w:val="none" w:sz="0" w:space="0" w:color="auto"/>
            <w:right w:val="none" w:sz="0" w:space="0" w:color="auto"/>
          </w:divBdr>
        </w:div>
        <w:div w:id="1186215146">
          <w:marLeft w:val="0"/>
          <w:marRight w:val="0"/>
          <w:marTop w:val="0"/>
          <w:marBottom w:val="0"/>
          <w:divBdr>
            <w:top w:val="none" w:sz="0" w:space="0" w:color="auto"/>
            <w:left w:val="none" w:sz="0" w:space="0" w:color="auto"/>
            <w:bottom w:val="none" w:sz="0" w:space="0" w:color="auto"/>
            <w:right w:val="none" w:sz="0" w:space="0" w:color="auto"/>
          </w:divBdr>
        </w:div>
        <w:div w:id="393309335">
          <w:marLeft w:val="0"/>
          <w:marRight w:val="0"/>
          <w:marTop w:val="0"/>
          <w:marBottom w:val="0"/>
          <w:divBdr>
            <w:top w:val="none" w:sz="0" w:space="0" w:color="auto"/>
            <w:left w:val="none" w:sz="0" w:space="0" w:color="auto"/>
            <w:bottom w:val="none" w:sz="0" w:space="0" w:color="auto"/>
            <w:right w:val="none" w:sz="0" w:space="0" w:color="auto"/>
          </w:divBdr>
        </w:div>
        <w:div w:id="37825573">
          <w:marLeft w:val="0"/>
          <w:marRight w:val="0"/>
          <w:marTop w:val="0"/>
          <w:marBottom w:val="0"/>
          <w:divBdr>
            <w:top w:val="none" w:sz="0" w:space="0" w:color="auto"/>
            <w:left w:val="none" w:sz="0" w:space="0" w:color="auto"/>
            <w:bottom w:val="none" w:sz="0" w:space="0" w:color="auto"/>
            <w:right w:val="none" w:sz="0" w:space="0" w:color="auto"/>
          </w:divBdr>
        </w:div>
        <w:div w:id="694424765">
          <w:marLeft w:val="0"/>
          <w:marRight w:val="0"/>
          <w:marTop w:val="0"/>
          <w:marBottom w:val="0"/>
          <w:divBdr>
            <w:top w:val="none" w:sz="0" w:space="0" w:color="auto"/>
            <w:left w:val="none" w:sz="0" w:space="0" w:color="auto"/>
            <w:bottom w:val="none" w:sz="0" w:space="0" w:color="auto"/>
            <w:right w:val="none" w:sz="0" w:space="0" w:color="auto"/>
          </w:divBdr>
        </w:div>
        <w:div w:id="913852047">
          <w:marLeft w:val="0"/>
          <w:marRight w:val="0"/>
          <w:marTop w:val="0"/>
          <w:marBottom w:val="0"/>
          <w:divBdr>
            <w:top w:val="none" w:sz="0" w:space="0" w:color="auto"/>
            <w:left w:val="none" w:sz="0" w:space="0" w:color="auto"/>
            <w:bottom w:val="none" w:sz="0" w:space="0" w:color="auto"/>
            <w:right w:val="none" w:sz="0" w:space="0" w:color="auto"/>
          </w:divBdr>
        </w:div>
        <w:div w:id="2025128607">
          <w:marLeft w:val="0"/>
          <w:marRight w:val="0"/>
          <w:marTop w:val="0"/>
          <w:marBottom w:val="0"/>
          <w:divBdr>
            <w:top w:val="none" w:sz="0" w:space="0" w:color="auto"/>
            <w:left w:val="none" w:sz="0" w:space="0" w:color="auto"/>
            <w:bottom w:val="none" w:sz="0" w:space="0" w:color="auto"/>
            <w:right w:val="none" w:sz="0" w:space="0" w:color="auto"/>
          </w:divBdr>
        </w:div>
        <w:div w:id="331835521">
          <w:marLeft w:val="0"/>
          <w:marRight w:val="0"/>
          <w:marTop w:val="0"/>
          <w:marBottom w:val="0"/>
          <w:divBdr>
            <w:top w:val="none" w:sz="0" w:space="0" w:color="auto"/>
            <w:left w:val="none" w:sz="0" w:space="0" w:color="auto"/>
            <w:bottom w:val="none" w:sz="0" w:space="0" w:color="auto"/>
            <w:right w:val="none" w:sz="0" w:space="0" w:color="auto"/>
          </w:divBdr>
        </w:div>
        <w:div w:id="1060713568">
          <w:marLeft w:val="0"/>
          <w:marRight w:val="0"/>
          <w:marTop w:val="0"/>
          <w:marBottom w:val="0"/>
          <w:divBdr>
            <w:top w:val="none" w:sz="0" w:space="0" w:color="auto"/>
            <w:left w:val="none" w:sz="0" w:space="0" w:color="auto"/>
            <w:bottom w:val="none" w:sz="0" w:space="0" w:color="auto"/>
            <w:right w:val="none" w:sz="0" w:space="0" w:color="auto"/>
          </w:divBdr>
        </w:div>
        <w:div w:id="1442262355">
          <w:marLeft w:val="0"/>
          <w:marRight w:val="0"/>
          <w:marTop w:val="0"/>
          <w:marBottom w:val="0"/>
          <w:divBdr>
            <w:top w:val="none" w:sz="0" w:space="0" w:color="auto"/>
            <w:left w:val="none" w:sz="0" w:space="0" w:color="auto"/>
            <w:bottom w:val="none" w:sz="0" w:space="0" w:color="auto"/>
            <w:right w:val="none" w:sz="0" w:space="0" w:color="auto"/>
          </w:divBdr>
        </w:div>
        <w:div w:id="1479375027">
          <w:marLeft w:val="0"/>
          <w:marRight w:val="0"/>
          <w:marTop w:val="0"/>
          <w:marBottom w:val="0"/>
          <w:divBdr>
            <w:top w:val="none" w:sz="0" w:space="0" w:color="auto"/>
            <w:left w:val="none" w:sz="0" w:space="0" w:color="auto"/>
            <w:bottom w:val="none" w:sz="0" w:space="0" w:color="auto"/>
            <w:right w:val="none" w:sz="0" w:space="0" w:color="auto"/>
          </w:divBdr>
        </w:div>
        <w:div w:id="140118572">
          <w:marLeft w:val="0"/>
          <w:marRight w:val="0"/>
          <w:marTop w:val="0"/>
          <w:marBottom w:val="0"/>
          <w:divBdr>
            <w:top w:val="none" w:sz="0" w:space="0" w:color="auto"/>
            <w:left w:val="none" w:sz="0" w:space="0" w:color="auto"/>
            <w:bottom w:val="none" w:sz="0" w:space="0" w:color="auto"/>
            <w:right w:val="none" w:sz="0" w:space="0" w:color="auto"/>
          </w:divBdr>
        </w:div>
        <w:div w:id="937253493">
          <w:marLeft w:val="0"/>
          <w:marRight w:val="0"/>
          <w:marTop w:val="0"/>
          <w:marBottom w:val="0"/>
          <w:divBdr>
            <w:top w:val="none" w:sz="0" w:space="0" w:color="auto"/>
            <w:left w:val="none" w:sz="0" w:space="0" w:color="auto"/>
            <w:bottom w:val="none" w:sz="0" w:space="0" w:color="auto"/>
            <w:right w:val="none" w:sz="0" w:space="0" w:color="auto"/>
          </w:divBdr>
        </w:div>
      </w:divsChild>
    </w:div>
    <w:div w:id="1483110127">
      <w:bodyDiv w:val="1"/>
      <w:marLeft w:val="0"/>
      <w:marRight w:val="0"/>
      <w:marTop w:val="0"/>
      <w:marBottom w:val="0"/>
      <w:divBdr>
        <w:top w:val="none" w:sz="0" w:space="0" w:color="auto"/>
        <w:left w:val="none" w:sz="0" w:space="0" w:color="auto"/>
        <w:bottom w:val="none" w:sz="0" w:space="0" w:color="auto"/>
        <w:right w:val="none" w:sz="0" w:space="0" w:color="auto"/>
      </w:divBdr>
    </w:div>
    <w:div w:id="1632059207">
      <w:bodyDiv w:val="1"/>
      <w:marLeft w:val="0"/>
      <w:marRight w:val="0"/>
      <w:marTop w:val="0"/>
      <w:marBottom w:val="0"/>
      <w:divBdr>
        <w:top w:val="none" w:sz="0" w:space="0" w:color="auto"/>
        <w:left w:val="none" w:sz="0" w:space="0" w:color="auto"/>
        <w:bottom w:val="none" w:sz="0" w:space="0" w:color="auto"/>
        <w:right w:val="none" w:sz="0" w:space="0" w:color="auto"/>
      </w:divBdr>
    </w:div>
    <w:div w:id="1724132877">
      <w:bodyDiv w:val="1"/>
      <w:marLeft w:val="0"/>
      <w:marRight w:val="0"/>
      <w:marTop w:val="0"/>
      <w:marBottom w:val="0"/>
      <w:divBdr>
        <w:top w:val="none" w:sz="0" w:space="0" w:color="auto"/>
        <w:left w:val="none" w:sz="0" w:space="0" w:color="auto"/>
        <w:bottom w:val="none" w:sz="0" w:space="0" w:color="auto"/>
        <w:right w:val="none" w:sz="0" w:space="0" w:color="auto"/>
      </w:divBdr>
    </w:div>
    <w:div w:id="1729383021">
      <w:bodyDiv w:val="1"/>
      <w:marLeft w:val="0"/>
      <w:marRight w:val="0"/>
      <w:marTop w:val="0"/>
      <w:marBottom w:val="0"/>
      <w:divBdr>
        <w:top w:val="none" w:sz="0" w:space="0" w:color="auto"/>
        <w:left w:val="none" w:sz="0" w:space="0" w:color="auto"/>
        <w:bottom w:val="none" w:sz="0" w:space="0" w:color="auto"/>
        <w:right w:val="none" w:sz="0" w:space="0" w:color="auto"/>
      </w:divBdr>
    </w:div>
    <w:div w:id="1755592395">
      <w:bodyDiv w:val="1"/>
      <w:marLeft w:val="0"/>
      <w:marRight w:val="0"/>
      <w:marTop w:val="0"/>
      <w:marBottom w:val="0"/>
      <w:divBdr>
        <w:top w:val="none" w:sz="0" w:space="0" w:color="auto"/>
        <w:left w:val="none" w:sz="0" w:space="0" w:color="auto"/>
        <w:bottom w:val="none" w:sz="0" w:space="0" w:color="auto"/>
        <w:right w:val="none" w:sz="0" w:space="0" w:color="auto"/>
      </w:divBdr>
    </w:div>
    <w:div w:id="1803620131">
      <w:bodyDiv w:val="1"/>
      <w:marLeft w:val="0"/>
      <w:marRight w:val="0"/>
      <w:marTop w:val="0"/>
      <w:marBottom w:val="0"/>
      <w:divBdr>
        <w:top w:val="none" w:sz="0" w:space="0" w:color="auto"/>
        <w:left w:val="none" w:sz="0" w:space="0" w:color="auto"/>
        <w:bottom w:val="none" w:sz="0" w:space="0" w:color="auto"/>
        <w:right w:val="none" w:sz="0" w:space="0" w:color="auto"/>
      </w:divBdr>
    </w:div>
    <w:div w:id="1943606466">
      <w:bodyDiv w:val="1"/>
      <w:marLeft w:val="0"/>
      <w:marRight w:val="0"/>
      <w:marTop w:val="0"/>
      <w:marBottom w:val="0"/>
      <w:divBdr>
        <w:top w:val="none" w:sz="0" w:space="0" w:color="auto"/>
        <w:left w:val="none" w:sz="0" w:space="0" w:color="auto"/>
        <w:bottom w:val="none" w:sz="0" w:space="0" w:color="auto"/>
        <w:right w:val="none" w:sz="0" w:space="0" w:color="auto"/>
      </w:divBdr>
    </w:div>
    <w:div w:id="21042597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9.emf"/><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8.png"/><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MDF New Colors">
      <a:dk1>
        <a:srgbClr val="0E4E95"/>
      </a:dk1>
      <a:lt1>
        <a:srgbClr val="F05B55"/>
      </a:lt1>
      <a:dk2>
        <a:srgbClr val="00B16B"/>
      </a:dk2>
      <a:lt2>
        <a:srgbClr val="F6921E"/>
      </a:lt2>
      <a:accent1>
        <a:srgbClr val="FFC10E"/>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bwMode="auto">
        <a:solidFill>
          <a:srgbClr val="66584E">
            <a:alpha val="17000"/>
          </a:srgbClr>
        </a:solidFill>
        <a:ln>
          <a:noFill/>
        </a:ln>
        <a:extLst>
          <a:ext uri="{91240B29-F687-4F45-9708-019B960494DF}">
            <a14:hiddenLine xmlns:a14="http://schemas.microsoft.com/office/drawing/2010/main" w="12700">
              <a:solidFill>
                <a:srgbClr val="003366"/>
              </a:solidFill>
              <a:miter lim="800000"/>
              <a:headEnd/>
              <a:tailEnd/>
            </a14:hiddenLine>
          </a:ext>
        </a:extLst>
      </a:spPr>
      <a:bodyPr rot="0" vert="horz" wrap="square" lIns="108000" tIns="108000" rIns="108000" bIns="108000" anchor="t" anchorCtr="0" upright="1">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B0556 - Kyrgyzstan - Bishkek</OfficeCountry>
    <DocumentStatus xmlns="d9cf0e28-81d2-4dc7-8b10-820d80ed680d">Approved</DocumentStatus>
    <DocCoverageEndDate xmlns="d9cf0e28-81d2-4dc7-8b10-820d80ed680d">2025-01-01T05:00:00+00:00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Progres Report</FileNameDescription>
    <ProjectNumber xmlns="d9cf0e28-81d2-4dc7-8b10-820d80ed680d">01003185</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UNDP-KGZ</OperatingUnit>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DCA4E0-D565-46BC-B410-7D3F93DB97F4}">
  <ds:schemaRefs>
    <ds:schemaRef ds:uri="http://schemas.microsoft.com/sharepoint/v3/contenttype/forms"/>
  </ds:schemaRefs>
</ds:datastoreItem>
</file>

<file path=customXml/itemProps2.xml><?xml version="1.0" encoding="utf-8"?>
<ds:datastoreItem xmlns:ds="http://schemas.openxmlformats.org/officeDocument/2006/customXml" ds:itemID="{023DF04B-3B00-4722-BC53-E837F6401EDE}">
  <ds:schemaRefs>
    <ds:schemaRef ds:uri="http://schemas.microsoft.com/office/2006/metadata/properties"/>
    <ds:schemaRef ds:uri="http://schemas.microsoft.com/office/infopath/2007/PartnerControls"/>
    <ds:schemaRef ds:uri="d6d4090d-29f7-455f-aadf-a2ca9122018f"/>
    <ds:schemaRef ds:uri="638120fc-267e-42ce-8146-77de41b2f70b"/>
  </ds:schemaRefs>
</ds:datastoreItem>
</file>

<file path=customXml/itemProps3.xml><?xml version="1.0" encoding="utf-8"?>
<ds:datastoreItem xmlns:ds="http://schemas.openxmlformats.org/officeDocument/2006/customXml" ds:itemID="{75FEF9AB-04C0-4742-8A7E-72AD49DF2211}">
  <ds:schemaRefs>
    <ds:schemaRef ds:uri="http://schemas.openxmlformats.org/officeDocument/2006/bibliography"/>
  </ds:schemaRefs>
</ds:datastoreItem>
</file>

<file path=customXml/itemProps4.xml><?xml version="1.0" encoding="utf-8"?>
<ds:datastoreItem xmlns:ds="http://schemas.openxmlformats.org/officeDocument/2006/customXml" ds:itemID="{4A523318-9906-48B0-96E0-082974560F15}"/>
</file>

<file path=docProps/app.xml><?xml version="1.0" encoding="utf-8"?>
<Properties xmlns="http://schemas.openxmlformats.org/officeDocument/2006/extended-properties" xmlns:vt="http://schemas.openxmlformats.org/officeDocument/2006/docPropsVTypes">
  <Template>Normal</Template>
  <TotalTime>1054</TotalTime>
  <Pages>32</Pages>
  <Words>11280</Words>
  <Characters>64299</Characters>
  <Application>Microsoft Office Word</Application>
  <DocSecurity>0</DocSecurity>
  <Lines>535</Lines>
  <Paragraphs>150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獫票楧栮捯洀鉭曮㞱Û뜰⠲쎔딁烊皭〼፥ᙼ䕸忤઱</Company>
  <LinksUpToDate>false</LinksUpToDate>
  <CharactersWithSpaces>75429</CharactersWithSpaces>
  <SharedDoc>false</SharedDoc>
  <HLinks>
    <vt:vector size="90" baseType="variant">
      <vt:variant>
        <vt:i4>2424930</vt:i4>
      </vt:variant>
      <vt:variant>
        <vt:i4>24348</vt:i4>
      </vt:variant>
      <vt:variant>
        <vt:i4>1027</vt:i4>
      </vt:variant>
      <vt:variant>
        <vt:i4>1</vt:i4>
      </vt:variant>
      <vt:variant>
        <vt:lpwstr>Blue_bullet</vt:lpwstr>
      </vt:variant>
      <vt:variant>
        <vt:lpwstr/>
      </vt:variant>
      <vt:variant>
        <vt:i4>8192087</vt:i4>
      </vt:variant>
      <vt:variant>
        <vt:i4>24349</vt:i4>
      </vt:variant>
      <vt:variant>
        <vt:i4>1028</vt:i4>
      </vt:variant>
      <vt:variant>
        <vt:i4>1</vt:i4>
      </vt:variant>
      <vt:variant>
        <vt:lpwstr>Red_bullet</vt:lpwstr>
      </vt:variant>
      <vt:variant>
        <vt:lpwstr/>
      </vt:variant>
      <vt:variant>
        <vt:i4>196612</vt:i4>
      </vt:variant>
      <vt:variant>
        <vt:i4>24351</vt:i4>
      </vt:variant>
      <vt:variant>
        <vt:i4>1029</vt:i4>
      </vt:variant>
      <vt:variant>
        <vt:i4>1</vt:i4>
      </vt:variant>
      <vt:variant>
        <vt:lpwstr>Name</vt:lpwstr>
      </vt:variant>
      <vt:variant>
        <vt:lpwstr/>
      </vt:variant>
      <vt:variant>
        <vt:i4>2031626</vt:i4>
      </vt:variant>
      <vt:variant>
        <vt:i4>24526</vt:i4>
      </vt:variant>
      <vt:variant>
        <vt:i4>1025</vt:i4>
      </vt:variant>
      <vt:variant>
        <vt:i4>1</vt:i4>
      </vt:variant>
      <vt:variant>
        <vt:lpwstr>mark</vt:lpwstr>
      </vt:variant>
      <vt:variant>
        <vt:lpwstr/>
      </vt:variant>
      <vt:variant>
        <vt:i4>2031626</vt:i4>
      </vt:variant>
      <vt:variant>
        <vt:i4>24532</vt:i4>
      </vt:variant>
      <vt:variant>
        <vt:i4>1030</vt:i4>
      </vt:variant>
      <vt:variant>
        <vt:i4>1</vt:i4>
      </vt:variant>
      <vt:variant>
        <vt:lpwstr>mark</vt:lpwstr>
      </vt:variant>
      <vt:variant>
        <vt:lpwstr/>
      </vt:variant>
      <vt:variant>
        <vt:i4>2031626</vt:i4>
      </vt:variant>
      <vt:variant>
        <vt:i4>24544</vt:i4>
      </vt:variant>
      <vt:variant>
        <vt:i4>1031</vt:i4>
      </vt:variant>
      <vt:variant>
        <vt:i4>1</vt:i4>
      </vt:variant>
      <vt:variant>
        <vt:lpwstr>mark</vt:lpwstr>
      </vt:variant>
      <vt:variant>
        <vt:lpwstr/>
      </vt:variant>
      <vt:variant>
        <vt:i4>2031626</vt:i4>
      </vt:variant>
      <vt:variant>
        <vt:i4>24556</vt:i4>
      </vt:variant>
      <vt:variant>
        <vt:i4>1032</vt:i4>
      </vt:variant>
      <vt:variant>
        <vt:i4>1</vt:i4>
      </vt:variant>
      <vt:variant>
        <vt:lpwstr>mark</vt:lpwstr>
      </vt:variant>
      <vt:variant>
        <vt:lpwstr/>
      </vt:variant>
      <vt:variant>
        <vt:i4>2031626</vt:i4>
      </vt:variant>
      <vt:variant>
        <vt:i4>24559</vt:i4>
      </vt:variant>
      <vt:variant>
        <vt:i4>1033</vt:i4>
      </vt:variant>
      <vt:variant>
        <vt:i4>1</vt:i4>
      </vt:variant>
      <vt:variant>
        <vt:lpwstr>mark</vt:lpwstr>
      </vt:variant>
      <vt:variant>
        <vt:lpwstr/>
      </vt:variant>
      <vt:variant>
        <vt:i4>2031626</vt:i4>
      </vt:variant>
      <vt:variant>
        <vt:i4>24562</vt:i4>
      </vt:variant>
      <vt:variant>
        <vt:i4>1034</vt:i4>
      </vt:variant>
      <vt:variant>
        <vt:i4>1</vt:i4>
      </vt:variant>
      <vt:variant>
        <vt:lpwstr>mark</vt:lpwstr>
      </vt:variant>
      <vt:variant>
        <vt:lpwstr/>
      </vt:variant>
      <vt:variant>
        <vt:i4>2031626</vt:i4>
      </vt:variant>
      <vt:variant>
        <vt:i4>24574</vt:i4>
      </vt:variant>
      <vt:variant>
        <vt:i4>1035</vt:i4>
      </vt:variant>
      <vt:variant>
        <vt:i4>1</vt:i4>
      </vt:variant>
      <vt:variant>
        <vt:lpwstr>mark</vt:lpwstr>
      </vt:variant>
      <vt:variant>
        <vt:lpwstr/>
      </vt:variant>
      <vt:variant>
        <vt:i4>2031626</vt:i4>
      </vt:variant>
      <vt:variant>
        <vt:i4>24586</vt:i4>
      </vt:variant>
      <vt:variant>
        <vt:i4>1036</vt:i4>
      </vt:variant>
      <vt:variant>
        <vt:i4>1</vt:i4>
      </vt:variant>
      <vt:variant>
        <vt:lpwstr>mark</vt:lpwstr>
      </vt:variant>
      <vt:variant>
        <vt:lpwstr/>
      </vt:variant>
      <vt:variant>
        <vt:i4>2031626</vt:i4>
      </vt:variant>
      <vt:variant>
        <vt:i4>24598</vt:i4>
      </vt:variant>
      <vt:variant>
        <vt:i4>1037</vt:i4>
      </vt:variant>
      <vt:variant>
        <vt:i4>1</vt:i4>
      </vt:variant>
      <vt:variant>
        <vt:lpwstr>mark</vt:lpwstr>
      </vt:variant>
      <vt:variant>
        <vt:lpwstr/>
      </vt:variant>
      <vt:variant>
        <vt:i4>2031626</vt:i4>
      </vt:variant>
      <vt:variant>
        <vt:i4>24619</vt:i4>
      </vt:variant>
      <vt:variant>
        <vt:i4>1038</vt:i4>
      </vt:variant>
      <vt:variant>
        <vt:i4>1</vt:i4>
      </vt:variant>
      <vt:variant>
        <vt:lpwstr>mark</vt:lpwstr>
      </vt:variant>
      <vt:variant>
        <vt:lpwstr/>
      </vt:variant>
      <vt:variant>
        <vt:i4>196612</vt:i4>
      </vt:variant>
      <vt:variant>
        <vt:i4>-1</vt:i4>
      </vt:variant>
      <vt:variant>
        <vt:i4>2055</vt:i4>
      </vt:variant>
      <vt:variant>
        <vt:i4>1</vt:i4>
      </vt:variant>
      <vt:variant>
        <vt:lpwstr>Name</vt:lpwstr>
      </vt:variant>
      <vt:variant>
        <vt:lpwstr/>
      </vt:variant>
      <vt:variant>
        <vt:i4>8061048</vt:i4>
      </vt:variant>
      <vt:variant>
        <vt:i4>-1</vt:i4>
      </vt:variant>
      <vt:variant>
        <vt:i4>2056</vt:i4>
      </vt:variant>
      <vt:variant>
        <vt:i4>1</vt:i4>
      </vt:variant>
      <vt:variant>
        <vt:lpwstr>Identifier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 Report</dc:title>
  <dc:creator>Kandi Shejavali</dc:creator>
  <cp:lastModifiedBy>Miragul Kochkorova</cp:lastModifiedBy>
  <cp:revision>260</cp:revision>
  <cp:lastPrinted>2022-09-25T12:49:00Z</cp:lastPrinted>
  <dcterms:created xsi:type="dcterms:W3CDTF">2025-12-19T08:06:00Z</dcterms:created>
  <dcterms:modified xsi:type="dcterms:W3CDTF">2026-01-21T03:41:00Z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